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EE5648" w14:textId="13FF42E3" w:rsidR="00032B8D" w:rsidRPr="00E03737" w:rsidRDefault="00032B8D" w:rsidP="00B03C19">
      <w:pPr>
        <w:spacing w:after="60"/>
        <w:jc w:val="center"/>
        <w:rPr>
          <w:rFonts w:ascii="Arial" w:hAnsi="Arial" w:cs="Arial"/>
          <w:b/>
          <w:sz w:val="28"/>
          <w:szCs w:val="28"/>
        </w:rPr>
      </w:pPr>
      <w:r w:rsidRPr="00E03737">
        <w:rPr>
          <w:rFonts w:ascii="Arial" w:hAnsi="Arial" w:cs="Arial"/>
          <w:b/>
          <w:sz w:val="28"/>
          <w:szCs w:val="28"/>
        </w:rPr>
        <w:t xml:space="preserve">Souhrn připomínek k materiálům </w:t>
      </w:r>
      <w:r w:rsidR="00346C93">
        <w:rPr>
          <w:rFonts w:ascii="Arial" w:hAnsi="Arial" w:cs="Arial"/>
          <w:b/>
          <w:sz w:val="28"/>
          <w:szCs w:val="28"/>
        </w:rPr>
        <w:t>405</w:t>
      </w:r>
      <w:r w:rsidRPr="00E03737">
        <w:rPr>
          <w:rFonts w:ascii="Arial" w:hAnsi="Arial" w:cs="Arial"/>
          <w:b/>
          <w:sz w:val="28"/>
          <w:szCs w:val="28"/>
        </w:rPr>
        <w:t>. zasedání Rady pro výzkum, vývoj a inovace</w:t>
      </w:r>
    </w:p>
    <w:p w14:paraId="31DF96B2" w14:textId="77777777" w:rsidR="00AC076B" w:rsidRDefault="00AC076B" w:rsidP="00CF05EF">
      <w:pPr>
        <w:tabs>
          <w:tab w:val="left" w:pos="-26"/>
          <w:tab w:val="left" w:pos="900"/>
        </w:tabs>
        <w:spacing w:before="60" w:after="60"/>
        <w:jc w:val="both"/>
        <w:rPr>
          <w:rFonts w:ascii="Arial" w:hAnsi="Arial" w:cs="Arial"/>
          <w:b/>
          <w:noProof/>
        </w:rPr>
      </w:pPr>
    </w:p>
    <w:p w14:paraId="23A9CC7E" w14:textId="77777777" w:rsidR="002E4135" w:rsidRDefault="002E4135" w:rsidP="00AC076B">
      <w:pPr>
        <w:tabs>
          <w:tab w:val="left" w:pos="-26"/>
          <w:tab w:val="left" w:pos="900"/>
        </w:tabs>
        <w:spacing w:before="60" w:after="60"/>
        <w:jc w:val="both"/>
        <w:rPr>
          <w:rFonts w:ascii="Arial" w:hAnsi="Arial" w:cs="Arial"/>
          <w:b/>
          <w:noProof/>
          <w:sz w:val="22"/>
          <w:szCs w:val="22"/>
        </w:rPr>
      </w:pPr>
    </w:p>
    <w:p w14:paraId="403289DA" w14:textId="545E84B9" w:rsidR="002E4135" w:rsidRPr="00C3123C" w:rsidRDefault="002E4135" w:rsidP="00B21EFD">
      <w:pPr>
        <w:tabs>
          <w:tab w:val="left" w:pos="-26"/>
          <w:tab w:val="left" w:pos="900"/>
        </w:tabs>
        <w:spacing w:before="60" w:after="60"/>
        <w:jc w:val="both"/>
        <w:rPr>
          <w:rFonts w:ascii="Arial" w:hAnsi="Arial" w:cs="Arial"/>
          <w:b/>
          <w:noProof/>
          <w:sz w:val="22"/>
          <w:szCs w:val="22"/>
        </w:rPr>
      </w:pPr>
      <w:r>
        <w:rPr>
          <w:rFonts w:ascii="Arial" w:hAnsi="Arial" w:cs="Arial"/>
          <w:b/>
          <w:noProof/>
          <w:sz w:val="22"/>
          <w:szCs w:val="22"/>
        </w:rPr>
        <w:t>405/A6</w:t>
      </w:r>
      <w:r w:rsidRPr="00C3123C">
        <w:rPr>
          <w:rFonts w:ascii="Arial" w:hAnsi="Arial" w:cs="Arial"/>
          <w:b/>
          <w:noProof/>
          <w:sz w:val="22"/>
          <w:szCs w:val="22"/>
        </w:rPr>
        <w:t xml:space="preserve"> </w:t>
      </w:r>
      <w:r w:rsidRPr="00357195">
        <w:rPr>
          <w:rFonts w:ascii="Arial" w:hAnsi="Arial" w:cs="Arial"/>
          <w:b/>
          <w:sz w:val="22"/>
          <w:szCs w:val="22"/>
        </w:rPr>
        <w:t>Metodik</w:t>
      </w:r>
      <w:r>
        <w:rPr>
          <w:rFonts w:ascii="Arial" w:hAnsi="Arial" w:cs="Arial"/>
          <w:b/>
          <w:sz w:val="22"/>
          <w:szCs w:val="22"/>
        </w:rPr>
        <w:t>a</w:t>
      </w:r>
      <w:r w:rsidRPr="00357195">
        <w:rPr>
          <w:rFonts w:ascii="Arial" w:hAnsi="Arial" w:cs="Arial"/>
          <w:b/>
          <w:sz w:val="22"/>
          <w:szCs w:val="22"/>
        </w:rPr>
        <w:t xml:space="preserve"> hodnocení velkých výzkumných infrastruktur</w:t>
      </w:r>
    </w:p>
    <w:p w14:paraId="6DDF3FD7" w14:textId="4E8A180F" w:rsidR="002E4135" w:rsidRPr="00C3123C" w:rsidRDefault="002E4135" w:rsidP="002E4135">
      <w:pPr>
        <w:tabs>
          <w:tab w:val="left" w:pos="-26"/>
          <w:tab w:val="left" w:pos="900"/>
        </w:tabs>
        <w:spacing w:before="60" w:after="60"/>
        <w:jc w:val="both"/>
        <w:rPr>
          <w:rFonts w:ascii="Arial" w:hAnsi="Arial" w:cs="Arial"/>
          <w:b/>
          <w:noProof/>
          <w:sz w:val="22"/>
          <w:szCs w:val="22"/>
        </w:rPr>
      </w:pPr>
    </w:p>
    <w:tbl>
      <w:tblPr>
        <w:tblW w:w="1519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9"/>
        <w:gridCol w:w="4151"/>
        <w:gridCol w:w="4496"/>
        <w:gridCol w:w="904"/>
        <w:gridCol w:w="4575"/>
      </w:tblGrid>
      <w:tr w:rsidR="002E4135" w:rsidRPr="00C3123C" w14:paraId="1FB12CDC" w14:textId="77777777" w:rsidTr="00FA07B1">
        <w:trPr>
          <w:trHeight w:val="674"/>
          <w:tblHeader/>
        </w:trPr>
        <w:tc>
          <w:tcPr>
            <w:tcW w:w="1069" w:type="dxa"/>
            <w:shd w:val="clear" w:color="auto" w:fill="C0C0C0"/>
            <w:vAlign w:val="center"/>
          </w:tcPr>
          <w:p w14:paraId="28A11E88" w14:textId="77777777" w:rsidR="002E4135" w:rsidRPr="00C3123C" w:rsidRDefault="002E4135" w:rsidP="00FA07B1">
            <w:pPr>
              <w:keepNext/>
              <w:spacing w:before="60"/>
              <w:jc w:val="center"/>
              <w:rPr>
                <w:rFonts w:ascii="Arial" w:hAnsi="Arial" w:cs="Arial"/>
                <w:b/>
                <w:sz w:val="22"/>
                <w:szCs w:val="22"/>
              </w:rPr>
            </w:pPr>
            <w:r w:rsidRPr="00C3123C">
              <w:rPr>
                <w:rFonts w:ascii="Arial" w:hAnsi="Arial" w:cs="Arial"/>
                <w:b/>
                <w:sz w:val="22"/>
                <w:szCs w:val="22"/>
              </w:rPr>
              <w:t xml:space="preserve">Číslo </w:t>
            </w:r>
            <w:proofErr w:type="spellStart"/>
            <w:r w:rsidRPr="00C3123C">
              <w:rPr>
                <w:rFonts w:ascii="Arial" w:hAnsi="Arial" w:cs="Arial"/>
                <w:b/>
                <w:sz w:val="22"/>
                <w:szCs w:val="22"/>
              </w:rPr>
              <w:t>přip</w:t>
            </w:r>
            <w:proofErr w:type="spellEnd"/>
            <w:r w:rsidRPr="00C3123C">
              <w:rPr>
                <w:rFonts w:ascii="Arial" w:hAnsi="Arial" w:cs="Arial"/>
                <w:b/>
                <w:sz w:val="22"/>
                <w:szCs w:val="22"/>
              </w:rPr>
              <w:t>.</w:t>
            </w:r>
          </w:p>
        </w:tc>
        <w:tc>
          <w:tcPr>
            <w:tcW w:w="4151" w:type="dxa"/>
            <w:shd w:val="clear" w:color="auto" w:fill="C0C0C0"/>
            <w:vAlign w:val="center"/>
          </w:tcPr>
          <w:p w14:paraId="481D11F6" w14:textId="77777777" w:rsidR="002E4135" w:rsidRPr="00C3123C" w:rsidRDefault="002E4135" w:rsidP="00FA07B1">
            <w:pPr>
              <w:keepNext/>
              <w:spacing w:before="60"/>
              <w:jc w:val="center"/>
              <w:rPr>
                <w:rFonts w:ascii="Arial" w:hAnsi="Arial" w:cs="Arial"/>
                <w:b/>
                <w:sz w:val="22"/>
                <w:szCs w:val="22"/>
              </w:rPr>
            </w:pPr>
            <w:r w:rsidRPr="00C3123C">
              <w:rPr>
                <w:rFonts w:ascii="Arial" w:hAnsi="Arial" w:cs="Arial"/>
                <w:b/>
                <w:sz w:val="22"/>
                <w:szCs w:val="22"/>
              </w:rPr>
              <w:t>Podstata připomínky</w:t>
            </w:r>
          </w:p>
        </w:tc>
        <w:tc>
          <w:tcPr>
            <w:tcW w:w="4496" w:type="dxa"/>
            <w:shd w:val="clear" w:color="auto" w:fill="C0C0C0"/>
            <w:vAlign w:val="center"/>
          </w:tcPr>
          <w:p w14:paraId="1E46D9F2" w14:textId="77777777" w:rsidR="002E4135" w:rsidRPr="00C3123C" w:rsidRDefault="002E4135" w:rsidP="00FA07B1">
            <w:pPr>
              <w:keepNext/>
              <w:spacing w:before="60"/>
              <w:jc w:val="center"/>
              <w:rPr>
                <w:rFonts w:ascii="Arial" w:hAnsi="Arial" w:cs="Arial"/>
                <w:color w:val="000000"/>
                <w:sz w:val="22"/>
                <w:szCs w:val="22"/>
              </w:rPr>
            </w:pPr>
            <w:r w:rsidRPr="00C3123C">
              <w:rPr>
                <w:rFonts w:ascii="Arial" w:hAnsi="Arial" w:cs="Arial"/>
                <w:color w:val="000000"/>
                <w:sz w:val="22"/>
                <w:szCs w:val="22"/>
              </w:rPr>
              <w:t>Zdůvodnění připomínky</w:t>
            </w:r>
          </w:p>
        </w:tc>
        <w:tc>
          <w:tcPr>
            <w:tcW w:w="904" w:type="dxa"/>
            <w:shd w:val="clear" w:color="auto" w:fill="FFFF00"/>
            <w:vAlign w:val="center"/>
          </w:tcPr>
          <w:p w14:paraId="1F23C8A5" w14:textId="77777777" w:rsidR="002E4135" w:rsidRPr="00C3123C" w:rsidRDefault="002E4135" w:rsidP="00FA07B1">
            <w:pPr>
              <w:keepNext/>
              <w:spacing w:before="60"/>
              <w:jc w:val="center"/>
              <w:rPr>
                <w:rFonts w:ascii="Arial" w:hAnsi="Arial" w:cs="Arial"/>
                <w:b/>
                <w:sz w:val="22"/>
                <w:szCs w:val="22"/>
              </w:rPr>
            </w:pPr>
            <w:r w:rsidRPr="00C3123C">
              <w:rPr>
                <w:rFonts w:ascii="Arial" w:hAnsi="Arial" w:cs="Arial"/>
                <w:b/>
                <w:sz w:val="22"/>
                <w:szCs w:val="22"/>
              </w:rPr>
              <w:t>A/N/Č</w:t>
            </w:r>
          </w:p>
        </w:tc>
        <w:tc>
          <w:tcPr>
            <w:tcW w:w="4575" w:type="dxa"/>
            <w:shd w:val="clear" w:color="auto" w:fill="FFFF00"/>
            <w:vAlign w:val="center"/>
          </w:tcPr>
          <w:p w14:paraId="3AD53078" w14:textId="77777777" w:rsidR="002E4135" w:rsidRPr="00C3123C" w:rsidRDefault="002E4135" w:rsidP="00FA07B1">
            <w:pPr>
              <w:keepNext/>
              <w:spacing w:before="60"/>
              <w:jc w:val="center"/>
              <w:rPr>
                <w:rFonts w:ascii="Arial" w:hAnsi="Arial" w:cs="Arial"/>
                <w:b/>
                <w:sz w:val="22"/>
                <w:szCs w:val="22"/>
              </w:rPr>
            </w:pPr>
            <w:r w:rsidRPr="00C3123C">
              <w:rPr>
                <w:rFonts w:ascii="Arial" w:hAnsi="Arial" w:cs="Arial"/>
                <w:b/>
                <w:sz w:val="22"/>
                <w:szCs w:val="22"/>
              </w:rPr>
              <w:t>Vypořádání</w:t>
            </w:r>
          </w:p>
        </w:tc>
      </w:tr>
      <w:tr w:rsidR="002E4135" w:rsidRPr="00C3123C" w14:paraId="14EFBBE1" w14:textId="77777777" w:rsidTr="00FA07B1">
        <w:tc>
          <w:tcPr>
            <w:tcW w:w="1069" w:type="dxa"/>
            <w:tcBorders>
              <w:top w:val="single" w:sz="4" w:space="0" w:color="auto"/>
              <w:left w:val="single" w:sz="4" w:space="0" w:color="auto"/>
              <w:bottom w:val="single" w:sz="4" w:space="0" w:color="auto"/>
              <w:right w:val="single" w:sz="4" w:space="0" w:color="auto"/>
            </w:tcBorders>
          </w:tcPr>
          <w:p w14:paraId="27988C56" w14:textId="45EEDEF1" w:rsidR="002E4135" w:rsidRPr="00C3123C" w:rsidRDefault="00350B06" w:rsidP="00FA07B1">
            <w:pPr>
              <w:spacing w:before="60"/>
              <w:ind w:left="142"/>
              <w:jc w:val="center"/>
              <w:rPr>
                <w:rFonts w:ascii="Arial" w:hAnsi="Arial" w:cs="Arial"/>
                <w:sz w:val="22"/>
                <w:szCs w:val="22"/>
              </w:rPr>
            </w:pPr>
            <w:r>
              <w:rPr>
                <w:rFonts w:ascii="Arial" w:hAnsi="Arial" w:cs="Arial"/>
                <w:sz w:val="22"/>
                <w:szCs w:val="22"/>
              </w:rPr>
              <w:t>1</w:t>
            </w:r>
          </w:p>
        </w:tc>
        <w:tc>
          <w:tcPr>
            <w:tcW w:w="4151" w:type="dxa"/>
            <w:tcBorders>
              <w:top w:val="single" w:sz="4" w:space="0" w:color="auto"/>
              <w:left w:val="single" w:sz="4" w:space="0" w:color="auto"/>
              <w:bottom w:val="single" w:sz="4" w:space="0" w:color="auto"/>
              <w:right w:val="single" w:sz="4" w:space="0" w:color="auto"/>
            </w:tcBorders>
          </w:tcPr>
          <w:p w14:paraId="005FFAF6" w14:textId="696A2A2C" w:rsidR="00350B06" w:rsidRPr="00BB3E33" w:rsidRDefault="00350B06" w:rsidP="00350B06">
            <w:pPr>
              <w:spacing w:before="60"/>
              <w:ind w:left="63" w:hanging="13"/>
              <w:jc w:val="both"/>
              <w:rPr>
                <w:rFonts w:ascii="Arial" w:hAnsi="Arial" w:cs="Arial"/>
                <w:b/>
                <w:bCs/>
                <w:sz w:val="22"/>
                <w:szCs w:val="22"/>
                <w:u w:val="single"/>
              </w:rPr>
            </w:pPr>
            <w:r w:rsidRPr="00BB3E33">
              <w:rPr>
                <w:rFonts w:ascii="Arial" w:hAnsi="Arial" w:cs="Arial"/>
                <w:b/>
                <w:bCs/>
                <w:sz w:val="22"/>
                <w:szCs w:val="22"/>
                <w:u w:val="single"/>
              </w:rPr>
              <w:t>Doporučující připomínka:</w:t>
            </w:r>
          </w:p>
          <w:p w14:paraId="224C9629" w14:textId="50130744" w:rsidR="002E4135" w:rsidRPr="00F46CEE" w:rsidRDefault="00350B06" w:rsidP="00350B06">
            <w:pPr>
              <w:spacing w:before="60"/>
              <w:ind w:left="63" w:hanging="13"/>
              <w:jc w:val="both"/>
              <w:rPr>
                <w:rFonts w:ascii="Arial" w:hAnsi="Arial" w:cs="Arial"/>
                <w:sz w:val="22"/>
                <w:szCs w:val="22"/>
              </w:rPr>
            </w:pPr>
            <w:r w:rsidRPr="00350B06">
              <w:rPr>
                <w:rFonts w:ascii="Arial" w:hAnsi="Arial" w:cs="Arial"/>
                <w:sz w:val="22"/>
                <w:szCs w:val="22"/>
              </w:rPr>
              <w:t>Rada žádá o vypisování cílových témat pro nové VVI na základě potřeb státu/analýzy</w:t>
            </w:r>
            <w:r>
              <w:rPr>
                <w:rFonts w:ascii="Arial" w:hAnsi="Arial" w:cs="Arial"/>
                <w:sz w:val="22"/>
                <w:szCs w:val="22"/>
              </w:rPr>
              <w:t xml:space="preserve"> </w:t>
            </w:r>
            <w:r w:rsidRPr="00350B06">
              <w:rPr>
                <w:rFonts w:ascii="Arial" w:hAnsi="Arial" w:cs="Arial"/>
                <w:sz w:val="22"/>
                <w:szCs w:val="22"/>
              </w:rPr>
              <w:t>sektorových platforem a také při tomto zohlednit stanovisko Rady pro velké výzkumné</w:t>
            </w:r>
            <w:r>
              <w:rPr>
                <w:rFonts w:ascii="Arial" w:hAnsi="Arial" w:cs="Arial"/>
                <w:sz w:val="22"/>
                <w:szCs w:val="22"/>
              </w:rPr>
              <w:t xml:space="preserve"> </w:t>
            </w:r>
            <w:r w:rsidRPr="00350B06">
              <w:rPr>
                <w:rFonts w:ascii="Arial" w:hAnsi="Arial" w:cs="Arial"/>
                <w:sz w:val="22"/>
                <w:szCs w:val="22"/>
              </w:rPr>
              <w:t>infrastruktury na MŠMT, která by se měla vyjádřit k</w:t>
            </w:r>
            <w:r>
              <w:rPr>
                <w:rFonts w:ascii="Arial" w:hAnsi="Arial" w:cs="Arial"/>
                <w:sz w:val="22"/>
                <w:szCs w:val="22"/>
              </w:rPr>
              <w:t> </w:t>
            </w:r>
            <w:r w:rsidRPr="00350B06">
              <w:rPr>
                <w:rFonts w:ascii="Arial" w:hAnsi="Arial" w:cs="Arial"/>
                <w:sz w:val="22"/>
                <w:szCs w:val="22"/>
              </w:rPr>
              <w:t>tomu, zda nově navrhovaná</w:t>
            </w:r>
            <w:r>
              <w:rPr>
                <w:rFonts w:ascii="Arial" w:hAnsi="Arial" w:cs="Arial"/>
                <w:sz w:val="22"/>
                <w:szCs w:val="22"/>
              </w:rPr>
              <w:t xml:space="preserve"> </w:t>
            </w:r>
            <w:r w:rsidRPr="00350B06">
              <w:rPr>
                <w:rFonts w:ascii="Arial" w:hAnsi="Arial" w:cs="Arial"/>
                <w:sz w:val="22"/>
                <w:szCs w:val="22"/>
              </w:rPr>
              <w:t>infrastruktura je dostatečně unikátní a zda existující infrastruktury již navrhované</w:t>
            </w:r>
            <w:r>
              <w:rPr>
                <w:rFonts w:ascii="Arial" w:hAnsi="Arial" w:cs="Arial"/>
                <w:sz w:val="22"/>
                <w:szCs w:val="22"/>
              </w:rPr>
              <w:t xml:space="preserve"> </w:t>
            </w:r>
            <w:r w:rsidRPr="00350B06">
              <w:rPr>
                <w:rFonts w:ascii="Arial" w:hAnsi="Arial" w:cs="Arial"/>
                <w:sz w:val="22"/>
                <w:szCs w:val="22"/>
              </w:rPr>
              <w:t>služby neposkytují.</w:t>
            </w:r>
          </w:p>
        </w:tc>
        <w:tc>
          <w:tcPr>
            <w:tcW w:w="4496" w:type="dxa"/>
            <w:tcBorders>
              <w:top w:val="single" w:sz="4" w:space="0" w:color="auto"/>
              <w:left w:val="single" w:sz="4" w:space="0" w:color="auto"/>
              <w:bottom w:val="single" w:sz="4" w:space="0" w:color="auto"/>
              <w:right w:val="single" w:sz="4" w:space="0" w:color="auto"/>
            </w:tcBorders>
          </w:tcPr>
          <w:p w14:paraId="23EE1DA1" w14:textId="164F530A" w:rsidR="002E4135" w:rsidRPr="00C3123C" w:rsidRDefault="002E4135" w:rsidP="00FA07B1">
            <w:pPr>
              <w:spacing w:before="60"/>
              <w:ind w:left="63" w:hanging="13"/>
              <w:jc w:val="both"/>
              <w:rPr>
                <w:rFonts w:ascii="Arial" w:hAnsi="Arial" w:cs="Arial"/>
                <w:sz w:val="22"/>
                <w:szCs w:val="22"/>
              </w:rPr>
            </w:pPr>
          </w:p>
        </w:tc>
        <w:tc>
          <w:tcPr>
            <w:tcW w:w="904" w:type="dxa"/>
            <w:tcBorders>
              <w:top w:val="single" w:sz="4" w:space="0" w:color="auto"/>
              <w:left w:val="single" w:sz="4" w:space="0" w:color="auto"/>
              <w:bottom w:val="single" w:sz="4" w:space="0" w:color="auto"/>
              <w:right w:val="single" w:sz="4" w:space="0" w:color="auto"/>
            </w:tcBorders>
          </w:tcPr>
          <w:p w14:paraId="00F36942" w14:textId="1A367FDA" w:rsidR="002E4135" w:rsidRPr="00A95A04" w:rsidRDefault="00A205B4" w:rsidP="00B21EFD">
            <w:pPr>
              <w:spacing w:before="60"/>
              <w:rPr>
                <w:rFonts w:ascii="Arial" w:hAnsi="Arial" w:cs="Arial"/>
                <w:b/>
                <w:bCs/>
                <w:sz w:val="22"/>
                <w:szCs w:val="22"/>
              </w:rPr>
            </w:pPr>
            <w:r>
              <w:rPr>
                <w:rFonts w:ascii="Arial" w:hAnsi="Arial" w:cs="Arial"/>
                <w:b/>
                <w:bCs/>
                <w:sz w:val="22"/>
                <w:szCs w:val="22"/>
              </w:rPr>
              <w:t>Č</w:t>
            </w:r>
          </w:p>
        </w:tc>
        <w:tc>
          <w:tcPr>
            <w:tcW w:w="4575" w:type="dxa"/>
            <w:tcBorders>
              <w:top w:val="single" w:sz="4" w:space="0" w:color="auto"/>
              <w:left w:val="single" w:sz="4" w:space="0" w:color="auto"/>
              <w:bottom w:val="single" w:sz="4" w:space="0" w:color="auto"/>
              <w:right w:val="single" w:sz="4" w:space="0" w:color="auto"/>
            </w:tcBorders>
          </w:tcPr>
          <w:p w14:paraId="1519AC32" w14:textId="51DE76EC" w:rsidR="002E4135" w:rsidRPr="00C3123C" w:rsidRDefault="00350B06" w:rsidP="00FA07B1">
            <w:pPr>
              <w:spacing w:before="60"/>
              <w:jc w:val="both"/>
              <w:rPr>
                <w:rFonts w:ascii="Arial" w:hAnsi="Arial" w:cs="Arial"/>
                <w:sz w:val="22"/>
                <w:szCs w:val="22"/>
              </w:rPr>
            </w:pPr>
            <w:r>
              <w:rPr>
                <w:rFonts w:ascii="Arial" w:hAnsi="Arial" w:cs="Arial"/>
                <w:sz w:val="22"/>
                <w:szCs w:val="22"/>
              </w:rPr>
              <w:t>Účelem analýzy sektorových platforem je identifikace oblastí, které nejsou pokryty stávajícími VVI, přičemž ponechávají na odborné komunitě, jakým způsobem bude případné pokrytí zajištěno (rozšíření záběru stávajících VVI, návrh nových VVI). Posouzení unikátnosti návrhu nových VVI může být ponecháno jen na příslušném hodnotícím panelu, který bude mít kompletní obrázek o všech předložených projektech.</w:t>
            </w:r>
          </w:p>
        </w:tc>
      </w:tr>
      <w:tr w:rsidR="00350B06" w:rsidRPr="00C3123C" w14:paraId="4E4E9951" w14:textId="77777777" w:rsidTr="00B14956">
        <w:tc>
          <w:tcPr>
            <w:tcW w:w="1069" w:type="dxa"/>
            <w:tcBorders>
              <w:top w:val="single" w:sz="4" w:space="0" w:color="auto"/>
              <w:left w:val="single" w:sz="4" w:space="0" w:color="auto"/>
              <w:bottom w:val="single" w:sz="4" w:space="0" w:color="auto"/>
              <w:right w:val="single" w:sz="4" w:space="0" w:color="auto"/>
            </w:tcBorders>
          </w:tcPr>
          <w:p w14:paraId="515CDA87" w14:textId="5571E933" w:rsidR="00350B06" w:rsidRPr="00C3123C" w:rsidRDefault="00350B06" w:rsidP="00B14956">
            <w:pPr>
              <w:spacing w:before="60"/>
              <w:ind w:left="142"/>
              <w:jc w:val="center"/>
              <w:rPr>
                <w:rFonts w:ascii="Arial" w:hAnsi="Arial" w:cs="Arial"/>
                <w:sz w:val="22"/>
                <w:szCs w:val="22"/>
              </w:rPr>
            </w:pPr>
            <w:r>
              <w:rPr>
                <w:rFonts w:ascii="Arial" w:hAnsi="Arial" w:cs="Arial"/>
                <w:sz w:val="22"/>
                <w:szCs w:val="22"/>
              </w:rPr>
              <w:t>2</w:t>
            </w:r>
          </w:p>
        </w:tc>
        <w:tc>
          <w:tcPr>
            <w:tcW w:w="4151" w:type="dxa"/>
            <w:tcBorders>
              <w:top w:val="single" w:sz="4" w:space="0" w:color="auto"/>
              <w:left w:val="single" w:sz="4" w:space="0" w:color="auto"/>
              <w:bottom w:val="single" w:sz="4" w:space="0" w:color="auto"/>
              <w:right w:val="single" w:sz="4" w:space="0" w:color="auto"/>
            </w:tcBorders>
          </w:tcPr>
          <w:p w14:paraId="3825E895" w14:textId="77777777" w:rsidR="00350B06" w:rsidRPr="00BB3E33" w:rsidRDefault="00350B06" w:rsidP="00B14956">
            <w:pPr>
              <w:spacing w:before="60"/>
              <w:ind w:left="63" w:hanging="13"/>
              <w:jc w:val="both"/>
              <w:rPr>
                <w:rFonts w:ascii="Arial" w:hAnsi="Arial" w:cs="Arial"/>
                <w:b/>
                <w:bCs/>
                <w:sz w:val="22"/>
                <w:szCs w:val="22"/>
                <w:u w:val="single"/>
              </w:rPr>
            </w:pPr>
            <w:r w:rsidRPr="00BB3E33">
              <w:rPr>
                <w:rFonts w:ascii="Arial" w:hAnsi="Arial" w:cs="Arial"/>
                <w:b/>
                <w:bCs/>
                <w:sz w:val="22"/>
                <w:szCs w:val="22"/>
                <w:u w:val="single"/>
              </w:rPr>
              <w:t>Zásadní připomínka:</w:t>
            </w:r>
          </w:p>
          <w:p w14:paraId="72383DD0" w14:textId="5C199378" w:rsidR="00350B06" w:rsidRPr="00F46CEE" w:rsidRDefault="00350B06" w:rsidP="00B14956">
            <w:pPr>
              <w:spacing w:before="60"/>
              <w:ind w:left="63" w:hanging="13"/>
              <w:jc w:val="both"/>
              <w:rPr>
                <w:rFonts w:ascii="Arial" w:hAnsi="Arial" w:cs="Arial"/>
                <w:sz w:val="22"/>
                <w:szCs w:val="22"/>
              </w:rPr>
            </w:pPr>
            <w:r>
              <w:rPr>
                <w:rFonts w:ascii="Arial" w:hAnsi="Arial" w:cs="Arial"/>
                <w:sz w:val="22"/>
                <w:szCs w:val="22"/>
              </w:rPr>
              <w:t xml:space="preserve">Zásadní připomínka č. 2 z usnesení RVVI z 22.3.2024, </w:t>
            </w:r>
            <w:r w:rsidRPr="00583685">
              <w:rPr>
                <w:rFonts w:ascii="Arial" w:hAnsi="Arial" w:cs="Arial"/>
                <w:sz w:val="22"/>
                <w:szCs w:val="22"/>
              </w:rPr>
              <w:t xml:space="preserve">týkající se </w:t>
            </w:r>
            <w:proofErr w:type="spellStart"/>
            <w:r w:rsidRPr="00583685">
              <w:rPr>
                <w:rFonts w:ascii="Arial" w:hAnsi="Arial" w:cs="Arial"/>
                <w:sz w:val="22"/>
                <w:szCs w:val="22"/>
              </w:rPr>
              <w:t>bibliometrie</w:t>
            </w:r>
            <w:proofErr w:type="spellEnd"/>
            <w:r w:rsidRPr="00583685">
              <w:rPr>
                <w:rFonts w:ascii="Arial" w:hAnsi="Arial" w:cs="Arial"/>
                <w:sz w:val="22"/>
                <w:szCs w:val="22"/>
              </w:rPr>
              <w:t xml:space="preserve"> a uvedení projektů účelové podpory</w:t>
            </w:r>
            <w:r>
              <w:rPr>
                <w:rFonts w:ascii="Arial" w:hAnsi="Arial" w:cs="Arial"/>
                <w:sz w:val="22"/>
                <w:szCs w:val="22"/>
              </w:rPr>
              <w:t xml:space="preserve"> bibliografie je stále aktuální</w:t>
            </w:r>
            <w:r w:rsidRPr="00F46CEE">
              <w:rPr>
                <w:rFonts w:ascii="Arial" w:hAnsi="Arial" w:cs="Arial"/>
                <w:sz w:val="22"/>
                <w:szCs w:val="22"/>
              </w:rPr>
              <w:t xml:space="preserve"> </w:t>
            </w:r>
          </w:p>
        </w:tc>
        <w:tc>
          <w:tcPr>
            <w:tcW w:w="4496" w:type="dxa"/>
            <w:tcBorders>
              <w:top w:val="single" w:sz="4" w:space="0" w:color="auto"/>
              <w:left w:val="single" w:sz="4" w:space="0" w:color="auto"/>
              <w:bottom w:val="single" w:sz="4" w:space="0" w:color="auto"/>
              <w:right w:val="single" w:sz="4" w:space="0" w:color="auto"/>
            </w:tcBorders>
          </w:tcPr>
          <w:p w14:paraId="72A84D6B" w14:textId="23D62811" w:rsidR="00350B06" w:rsidRPr="00C3123C" w:rsidRDefault="00350B06" w:rsidP="00350B06">
            <w:pPr>
              <w:spacing w:before="60"/>
              <w:ind w:left="63" w:hanging="13"/>
              <w:jc w:val="both"/>
              <w:rPr>
                <w:rFonts w:ascii="Arial" w:hAnsi="Arial" w:cs="Arial"/>
                <w:sz w:val="22"/>
                <w:szCs w:val="22"/>
              </w:rPr>
            </w:pPr>
            <w:r w:rsidRPr="00350B06">
              <w:rPr>
                <w:rFonts w:ascii="Arial" w:hAnsi="Arial" w:cs="Arial"/>
                <w:sz w:val="22"/>
                <w:szCs w:val="22"/>
              </w:rPr>
              <w:t>Propojení hodnocení bibliografických výsledků se systémem RVVI je naprosto</w:t>
            </w:r>
            <w:r>
              <w:rPr>
                <w:rFonts w:ascii="Arial" w:hAnsi="Arial" w:cs="Arial"/>
                <w:sz w:val="22"/>
                <w:szCs w:val="22"/>
              </w:rPr>
              <w:t xml:space="preserve"> </w:t>
            </w:r>
            <w:r w:rsidRPr="00350B06">
              <w:rPr>
                <w:rFonts w:ascii="Arial" w:hAnsi="Arial" w:cs="Arial"/>
                <w:sz w:val="22"/>
                <w:szCs w:val="22"/>
              </w:rPr>
              <w:t>nezbytným předpokladem pro efektivní a korektní hodnocení VVI. Tato připomínka</w:t>
            </w:r>
            <w:r>
              <w:rPr>
                <w:rFonts w:ascii="Arial" w:hAnsi="Arial" w:cs="Arial"/>
                <w:sz w:val="22"/>
                <w:szCs w:val="22"/>
              </w:rPr>
              <w:t xml:space="preserve"> </w:t>
            </w:r>
            <w:r w:rsidRPr="00350B06">
              <w:rPr>
                <w:rFonts w:ascii="Arial" w:hAnsi="Arial" w:cs="Arial"/>
                <w:sz w:val="22"/>
                <w:szCs w:val="22"/>
              </w:rPr>
              <w:t>nebyla v dokumentu nijak reflektována a její vypořádání popsané v Předkládací zprávě</w:t>
            </w:r>
            <w:r>
              <w:rPr>
                <w:rFonts w:ascii="Arial" w:hAnsi="Arial" w:cs="Arial"/>
                <w:sz w:val="22"/>
                <w:szCs w:val="22"/>
              </w:rPr>
              <w:t xml:space="preserve"> </w:t>
            </w:r>
            <w:r w:rsidRPr="00350B06">
              <w:rPr>
                <w:rFonts w:ascii="Arial" w:hAnsi="Arial" w:cs="Arial"/>
                <w:sz w:val="22"/>
                <w:szCs w:val="22"/>
              </w:rPr>
              <w:t>č. j.: MŠMT-15729/2024-3 je nedostatečné.</w:t>
            </w:r>
          </w:p>
        </w:tc>
        <w:tc>
          <w:tcPr>
            <w:tcW w:w="904" w:type="dxa"/>
            <w:tcBorders>
              <w:top w:val="single" w:sz="4" w:space="0" w:color="auto"/>
              <w:left w:val="single" w:sz="4" w:space="0" w:color="auto"/>
              <w:bottom w:val="single" w:sz="4" w:space="0" w:color="auto"/>
              <w:right w:val="single" w:sz="4" w:space="0" w:color="auto"/>
            </w:tcBorders>
          </w:tcPr>
          <w:p w14:paraId="3DAF01A0" w14:textId="62297831" w:rsidR="00350B06" w:rsidRPr="00A95A04" w:rsidRDefault="00E75385" w:rsidP="00B14956">
            <w:pPr>
              <w:spacing w:before="60"/>
              <w:rPr>
                <w:rFonts w:ascii="Arial" w:hAnsi="Arial" w:cs="Arial"/>
                <w:b/>
                <w:bCs/>
                <w:sz w:val="22"/>
                <w:szCs w:val="22"/>
              </w:rPr>
            </w:pPr>
            <w:r>
              <w:rPr>
                <w:rFonts w:ascii="Arial" w:hAnsi="Arial" w:cs="Arial"/>
                <w:b/>
                <w:bCs/>
                <w:sz w:val="22"/>
                <w:szCs w:val="22"/>
              </w:rPr>
              <w:t>Č</w:t>
            </w:r>
          </w:p>
        </w:tc>
        <w:tc>
          <w:tcPr>
            <w:tcW w:w="4575" w:type="dxa"/>
            <w:tcBorders>
              <w:top w:val="single" w:sz="4" w:space="0" w:color="auto"/>
              <w:left w:val="single" w:sz="4" w:space="0" w:color="auto"/>
              <w:bottom w:val="single" w:sz="4" w:space="0" w:color="auto"/>
              <w:right w:val="single" w:sz="4" w:space="0" w:color="auto"/>
            </w:tcBorders>
          </w:tcPr>
          <w:p w14:paraId="7DDE256C" w14:textId="20982DBA" w:rsidR="00350B06" w:rsidRPr="00C3123C" w:rsidRDefault="00350B06" w:rsidP="00B14956">
            <w:pPr>
              <w:spacing w:before="60"/>
              <w:jc w:val="both"/>
              <w:rPr>
                <w:rFonts w:ascii="Arial" w:hAnsi="Arial" w:cs="Arial"/>
                <w:sz w:val="22"/>
                <w:szCs w:val="22"/>
              </w:rPr>
            </w:pPr>
            <w:r>
              <w:rPr>
                <w:rFonts w:ascii="Arial" w:hAnsi="Arial" w:cs="Arial"/>
                <w:sz w:val="22"/>
                <w:szCs w:val="22"/>
              </w:rPr>
              <w:t>Využití RIV (a systému RVVI) je v metodice reflektováno na str</w:t>
            </w:r>
            <w:r w:rsidR="00835FA5">
              <w:rPr>
                <w:rFonts w:ascii="Arial" w:hAnsi="Arial" w:cs="Arial"/>
                <w:sz w:val="22"/>
                <w:szCs w:val="22"/>
              </w:rPr>
              <w:t>.</w:t>
            </w:r>
            <w:r>
              <w:rPr>
                <w:rFonts w:ascii="Arial" w:hAnsi="Arial" w:cs="Arial"/>
                <w:sz w:val="22"/>
                <w:szCs w:val="22"/>
              </w:rPr>
              <w:t xml:space="preserve"> 4</w:t>
            </w:r>
            <w:r w:rsidR="00835FA5">
              <w:rPr>
                <w:rFonts w:ascii="Arial" w:hAnsi="Arial" w:cs="Arial"/>
                <w:sz w:val="22"/>
                <w:szCs w:val="22"/>
              </w:rPr>
              <w:t xml:space="preserve"> a</w:t>
            </w:r>
            <w:r>
              <w:rPr>
                <w:rFonts w:ascii="Arial" w:hAnsi="Arial" w:cs="Arial"/>
                <w:sz w:val="22"/>
                <w:szCs w:val="22"/>
              </w:rPr>
              <w:t xml:space="preserve"> v části 11 přiloženého </w:t>
            </w:r>
            <w:proofErr w:type="spellStart"/>
            <w:r>
              <w:rPr>
                <w:rFonts w:ascii="Arial" w:hAnsi="Arial" w:cs="Arial"/>
                <w:sz w:val="22"/>
                <w:szCs w:val="22"/>
              </w:rPr>
              <w:t>Questionnaire</w:t>
            </w:r>
            <w:proofErr w:type="spellEnd"/>
            <w:r>
              <w:rPr>
                <w:rFonts w:ascii="Arial" w:hAnsi="Arial" w:cs="Arial"/>
                <w:sz w:val="22"/>
                <w:szCs w:val="22"/>
              </w:rPr>
              <w:t xml:space="preserve"> 2025, který budou žadatelé vyplňovat. Je však </w:t>
            </w:r>
            <w:r w:rsidR="00E75385">
              <w:rPr>
                <w:rFonts w:ascii="Arial" w:hAnsi="Arial" w:cs="Arial"/>
                <w:sz w:val="22"/>
                <w:szCs w:val="22"/>
              </w:rPr>
              <w:t>potřeba mít i nadále v průběhu hodnoticího procesu na paměti</w:t>
            </w:r>
            <w:r>
              <w:rPr>
                <w:rFonts w:ascii="Arial" w:hAnsi="Arial" w:cs="Arial"/>
                <w:sz w:val="22"/>
                <w:szCs w:val="22"/>
              </w:rPr>
              <w:t>, že tento systém trpí některými nedostatky. Jednak je to problém aktuálnosti dostupných dat (v době hodnocení nebudou dostupná data za roky 2024 a 2023, přičemž v roce 2022 se upravoval postup vykazování spolupráce s VVI), dále pak metodika vykazování výsledků nepodchycuje celou řadu výsledků zejména infrastruktur v </w:t>
            </w:r>
            <w:proofErr w:type="spellStart"/>
            <w:r>
              <w:rPr>
                <w:rFonts w:ascii="Arial" w:hAnsi="Arial" w:cs="Arial"/>
                <w:sz w:val="22"/>
                <w:szCs w:val="22"/>
              </w:rPr>
              <w:t>sociálněvědní</w:t>
            </w:r>
            <w:proofErr w:type="spellEnd"/>
            <w:r>
              <w:rPr>
                <w:rFonts w:ascii="Arial" w:hAnsi="Arial" w:cs="Arial"/>
                <w:sz w:val="22"/>
                <w:szCs w:val="22"/>
              </w:rPr>
              <w:t xml:space="preserve"> oblasti a nejasné též zůstává vykazování zahraničních výsledků těch VVI, kterými se ČR účastní na zahraničních projektech, neboť českou účast není možné separovat od zahraniční části (</w:t>
            </w:r>
            <w:r w:rsidR="00E75385">
              <w:rPr>
                <w:rFonts w:ascii="Arial" w:hAnsi="Arial" w:cs="Arial"/>
                <w:sz w:val="22"/>
                <w:szCs w:val="22"/>
              </w:rPr>
              <w:t xml:space="preserve">v případě </w:t>
            </w:r>
            <w:r w:rsidR="00E75385">
              <w:rPr>
                <w:rFonts w:ascii="Arial" w:hAnsi="Arial" w:cs="Arial"/>
                <w:sz w:val="22"/>
                <w:szCs w:val="22"/>
              </w:rPr>
              <w:lastRenderedPageBreak/>
              <w:t xml:space="preserve">vykazování výsledků na zahraničních projektech v RIV </w:t>
            </w:r>
            <w:r>
              <w:rPr>
                <w:rFonts w:ascii="Arial" w:hAnsi="Arial" w:cs="Arial"/>
                <w:sz w:val="22"/>
                <w:szCs w:val="22"/>
              </w:rPr>
              <w:t xml:space="preserve">může </w:t>
            </w:r>
            <w:r w:rsidR="00E75385">
              <w:rPr>
                <w:rFonts w:ascii="Arial" w:hAnsi="Arial" w:cs="Arial"/>
                <w:sz w:val="22"/>
                <w:szCs w:val="22"/>
              </w:rPr>
              <w:t>dojít k </w:t>
            </w:r>
            <w:r>
              <w:rPr>
                <w:rFonts w:ascii="Arial" w:hAnsi="Arial" w:cs="Arial"/>
                <w:sz w:val="22"/>
                <w:szCs w:val="22"/>
              </w:rPr>
              <w:t>zahlcen</w:t>
            </w:r>
            <w:r w:rsidR="00E75385">
              <w:rPr>
                <w:rFonts w:ascii="Arial" w:hAnsi="Arial" w:cs="Arial"/>
                <w:sz w:val="22"/>
                <w:szCs w:val="22"/>
              </w:rPr>
              <w:t>í RIV</w:t>
            </w:r>
            <w:r>
              <w:rPr>
                <w:rFonts w:ascii="Arial" w:hAnsi="Arial" w:cs="Arial"/>
                <w:sz w:val="22"/>
                <w:szCs w:val="22"/>
              </w:rPr>
              <w:t xml:space="preserve"> nedomácími výsledky, což jistě není smyslem RIV). Samostatnou kapitolou pak jsou uživatelé e-INFRA CZ, neboť</w:t>
            </w:r>
            <w:r w:rsidR="00E75385">
              <w:rPr>
                <w:rFonts w:ascii="Arial" w:hAnsi="Arial" w:cs="Arial"/>
                <w:sz w:val="22"/>
                <w:szCs w:val="22"/>
              </w:rPr>
              <w:t xml:space="preserve"> síť provozovaná </w:t>
            </w:r>
            <w:proofErr w:type="spellStart"/>
            <w:r w:rsidR="00E75385">
              <w:rPr>
                <w:rFonts w:ascii="Arial" w:hAnsi="Arial" w:cs="Arial"/>
                <w:sz w:val="22"/>
                <w:szCs w:val="22"/>
              </w:rPr>
              <w:t>CESNETem</w:t>
            </w:r>
            <w:proofErr w:type="spellEnd"/>
            <w:r w:rsidR="00E75385">
              <w:rPr>
                <w:rFonts w:ascii="Arial" w:hAnsi="Arial" w:cs="Arial"/>
                <w:sz w:val="22"/>
                <w:szCs w:val="22"/>
              </w:rPr>
              <w:t xml:space="preserve"> je objektivně zásadní pro uživatele napříč všemi vědními oblastmi. </w:t>
            </w:r>
            <w:r>
              <w:rPr>
                <w:rFonts w:ascii="Arial" w:hAnsi="Arial" w:cs="Arial"/>
                <w:sz w:val="22"/>
                <w:szCs w:val="22"/>
              </w:rPr>
              <w:t>Hodnocení bibliografických výsledků systémem RVVI tak může být jen pomocného charakteru, kde hodnotící panel musí brát do úvahy specifika konkrétních oblastí.</w:t>
            </w:r>
            <w:r w:rsidR="009D5091">
              <w:rPr>
                <w:rFonts w:ascii="Arial" w:hAnsi="Arial" w:cs="Arial"/>
                <w:sz w:val="22"/>
                <w:szCs w:val="22"/>
              </w:rPr>
              <w:t xml:space="preserve"> </w:t>
            </w:r>
            <w:r w:rsidR="00835FA5">
              <w:rPr>
                <w:rFonts w:ascii="Arial" w:hAnsi="Arial" w:cs="Arial"/>
                <w:sz w:val="22"/>
                <w:szCs w:val="22"/>
              </w:rPr>
              <w:t xml:space="preserve">Z výše uvedených důvodů bude </w:t>
            </w:r>
            <w:r w:rsidR="009D5091">
              <w:rPr>
                <w:rFonts w:ascii="Arial" w:hAnsi="Arial" w:cs="Arial"/>
                <w:sz w:val="22"/>
                <w:szCs w:val="22"/>
              </w:rPr>
              <w:t>v rámci nadcházejícího hodnocení využ</w:t>
            </w:r>
            <w:r w:rsidR="00835FA5">
              <w:rPr>
                <w:rFonts w:ascii="Arial" w:hAnsi="Arial" w:cs="Arial"/>
                <w:sz w:val="22"/>
                <w:szCs w:val="22"/>
              </w:rPr>
              <w:t>i</w:t>
            </w:r>
            <w:r w:rsidR="009D5091">
              <w:rPr>
                <w:rFonts w:ascii="Arial" w:hAnsi="Arial" w:cs="Arial"/>
                <w:sz w:val="22"/>
                <w:szCs w:val="22"/>
              </w:rPr>
              <w:t>t</w:t>
            </w:r>
            <w:r w:rsidR="00835FA5">
              <w:rPr>
                <w:rFonts w:ascii="Arial" w:hAnsi="Arial" w:cs="Arial"/>
                <w:sz w:val="22"/>
                <w:szCs w:val="22"/>
              </w:rPr>
              <w:t>a</w:t>
            </w:r>
            <w:r w:rsidR="009D5091">
              <w:rPr>
                <w:rFonts w:ascii="Arial" w:hAnsi="Arial" w:cs="Arial"/>
                <w:sz w:val="22"/>
                <w:szCs w:val="22"/>
              </w:rPr>
              <w:t xml:space="preserve"> navrhovan</w:t>
            </w:r>
            <w:r w:rsidR="00835FA5">
              <w:rPr>
                <w:rFonts w:ascii="Arial" w:hAnsi="Arial" w:cs="Arial"/>
                <w:sz w:val="22"/>
                <w:szCs w:val="22"/>
              </w:rPr>
              <w:t>á</w:t>
            </w:r>
            <w:r w:rsidR="009D5091">
              <w:rPr>
                <w:rFonts w:ascii="Arial" w:hAnsi="Arial" w:cs="Arial"/>
                <w:sz w:val="22"/>
                <w:szCs w:val="22"/>
              </w:rPr>
              <w:t xml:space="preserve"> </w:t>
            </w:r>
            <w:proofErr w:type="spellStart"/>
            <w:r w:rsidR="00C6301C">
              <w:rPr>
                <w:rFonts w:ascii="Arial" w:hAnsi="Arial" w:cs="Arial"/>
                <w:sz w:val="22"/>
                <w:szCs w:val="22"/>
              </w:rPr>
              <w:t>bibliometrie</w:t>
            </w:r>
            <w:proofErr w:type="spellEnd"/>
            <w:r w:rsidR="00C6301C">
              <w:rPr>
                <w:rFonts w:ascii="Arial" w:hAnsi="Arial" w:cs="Arial"/>
                <w:sz w:val="22"/>
                <w:szCs w:val="22"/>
              </w:rPr>
              <w:t xml:space="preserve"> </w:t>
            </w:r>
            <w:r w:rsidR="00E75385">
              <w:rPr>
                <w:rFonts w:ascii="Arial" w:hAnsi="Arial" w:cs="Arial"/>
                <w:sz w:val="22"/>
                <w:szCs w:val="22"/>
              </w:rPr>
              <w:t xml:space="preserve">pouze </w:t>
            </w:r>
            <w:r w:rsidR="009D5091">
              <w:rPr>
                <w:rFonts w:ascii="Arial" w:hAnsi="Arial" w:cs="Arial"/>
                <w:sz w:val="22"/>
                <w:szCs w:val="22"/>
              </w:rPr>
              <w:t xml:space="preserve">v pilotním </w:t>
            </w:r>
            <w:r w:rsidR="00835FA5">
              <w:rPr>
                <w:rFonts w:ascii="Arial" w:hAnsi="Arial" w:cs="Arial"/>
                <w:sz w:val="22"/>
                <w:szCs w:val="22"/>
              </w:rPr>
              <w:t>režimu</w:t>
            </w:r>
            <w:r w:rsidR="009D5091">
              <w:rPr>
                <w:rFonts w:ascii="Arial" w:hAnsi="Arial" w:cs="Arial"/>
                <w:sz w:val="22"/>
                <w:szCs w:val="22"/>
              </w:rPr>
              <w:t>.</w:t>
            </w:r>
          </w:p>
        </w:tc>
      </w:tr>
      <w:tr w:rsidR="002E4135" w:rsidRPr="00C3123C" w14:paraId="0859374E" w14:textId="77777777" w:rsidTr="00FA07B1">
        <w:tc>
          <w:tcPr>
            <w:tcW w:w="1069" w:type="dxa"/>
            <w:tcBorders>
              <w:top w:val="single" w:sz="4" w:space="0" w:color="auto"/>
              <w:left w:val="single" w:sz="4" w:space="0" w:color="auto"/>
              <w:bottom w:val="single" w:sz="4" w:space="0" w:color="auto"/>
              <w:right w:val="single" w:sz="4" w:space="0" w:color="auto"/>
            </w:tcBorders>
          </w:tcPr>
          <w:p w14:paraId="4C07712E" w14:textId="0111D5D9" w:rsidR="002E4135" w:rsidRDefault="00BB3E33" w:rsidP="00FA07B1">
            <w:pPr>
              <w:spacing w:before="60"/>
              <w:ind w:left="142"/>
              <w:jc w:val="center"/>
              <w:rPr>
                <w:rFonts w:ascii="Arial" w:hAnsi="Arial" w:cs="Arial"/>
                <w:sz w:val="22"/>
                <w:szCs w:val="22"/>
              </w:rPr>
            </w:pPr>
            <w:r>
              <w:rPr>
                <w:rFonts w:ascii="Arial" w:hAnsi="Arial" w:cs="Arial"/>
                <w:sz w:val="22"/>
                <w:szCs w:val="22"/>
              </w:rPr>
              <w:lastRenderedPageBreak/>
              <w:t>3</w:t>
            </w:r>
          </w:p>
        </w:tc>
        <w:tc>
          <w:tcPr>
            <w:tcW w:w="4151" w:type="dxa"/>
            <w:tcBorders>
              <w:top w:val="single" w:sz="4" w:space="0" w:color="auto"/>
              <w:left w:val="single" w:sz="4" w:space="0" w:color="auto"/>
              <w:bottom w:val="single" w:sz="4" w:space="0" w:color="auto"/>
              <w:right w:val="single" w:sz="4" w:space="0" w:color="auto"/>
            </w:tcBorders>
          </w:tcPr>
          <w:p w14:paraId="72C3C6F8" w14:textId="4BC150DB" w:rsidR="00BB3E33" w:rsidRPr="00BB3E33" w:rsidRDefault="00BB3E33" w:rsidP="00FA07B1">
            <w:pPr>
              <w:spacing w:before="60"/>
              <w:ind w:left="63" w:hanging="13"/>
              <w:jc w:val="both"/>
              <w:rPr>
                <w:rFonts w:ascii="Arial" w:hAnsi="Arial" w:cs="Arial"/>
                <w:b/>
                <w:bCs/>
                <w:sz w:val="22"/>
                <w:szCs w:val="22"/>
                <w:u w:val="single"/>
              </w:rPr>
            </w:pPr>
            <w:r w:rsidRPr="00BB3E33">
              <w:rPr>
                <w:rFonts w:ascii="Arial" w:hAnsi="Arial" w:cs="Arial"/>
                <w:b/>
                <w:bCs/>
                <w:sz w:val="22"/>
                <w:szCs w:val="22"/>
                <w:u w:val="single"/>
              </w:rPr>
              <w:t>Zásadní připomínka:</w:t>
            </w:r>
          </w:p>
          <w:p w14:paraId="548DCA03" w14:textId="1A5CBCCD" w:rsidR="002E4135" w:rsidRPr="00E939E0" w:rsidRDefault="005F193C" w:rsidP="00FA07B1">
            <w:pPr>
              <w:spacing w:before="60"/>
              <w:ind w:left="63" w:hanging="13"/>
              <w:jc w:val="both"/>
              <w:rPr>
                <w:rFonts w:ascii="Arial" w:hAnsi="Arial" w:cs="Arial"/>
                <w:sz w:val="22"/>
                <w:szCs w:val="22"/>
              </w:rPr>
            </w:pPr>
            <w:r>
              <w:rPr>
                <w:rFonts w:ascii="Arial" w:hAnsi="Arial" w:cs="Arial"/>
                <w:sz w:val="22"/>
                <w:szCs w:val="22"/>
              </w:rPr>
              <w:t>Zásadní připomínka č.3 z usnesení RVVI z 22.3.2024, týkající se hodnocení dopadů na ekonomiku ČR, nebyla v dokumentu nijak reflektována</w:t>
            </w:r>
          </w:p>
        </w:tc>
        <w:tc>
          <w:tcPr>
            <w:tcW w:w="4496" w:type="dxa"/>
            <w:tcBorders>
              <w:top w:val="single" w:sz="4" w:space="0" w:color="auto"/>
              <w:left w:val="single" w:sz="4" w:space="0" w:color="auto"/>
              <w:bottom w:val="single" w:sz="4" w:space="0" w:color="auto"/>
              <w:right w:val="single" w:sz="4" w:space="0" w:color="auto"/>
            </w:tcBorders>
          </w:tcPr>
          <w:p w14:paraId="58B62624" w14:textId="397A1519" w:rsidR="00192DD5" w:rsidRPr="00B92CFC" w:rsidRDefault="00BB3E33" w:rsidP="00BB3E33">
            <w:pPr>
              <w:spacing w:before="60"/>
              <w:jc w:val="both"/>
              <w:rPr>
                <w:rFonts w:ascii="Arial" w:hAnsi="Arial" w:cs="Arial"/>
                <w:sz w:val="22"/>
                <w:szCs w:val="22"/>
              </w:rPr>
            </w:pPr>
            <w:r w:rsidRPr="00BB3E33">
              <w:rPr>
                <w:rFonts w:ascii="Arial" w:hAnsi="Arial" w:cs="Arial"/>
                <w:sz w:val="22"/>
                <w:szCs w:val="22"/>
              </w:rPr>
              <w:t>Nebyly zohledněny výstupy projektu STRATIN+, ač to byl jeden z hlavních důvodů</w:t>
            </w:r>
            <w:r>
              <w:rPr>
                <w:rFonts w:ascii="Arial" w:hAnsi="Arial" w:cs="Arial"/>
                <w:sz w:val="22"/>
                <w:szCs w:val="22"/>
              </w:rPr>
              <w:t xml:space="preserve"> </w:t>
            </w:r>
            <w:r w:rsidRPr="00BB3E33">
              <w:rPr>
                <w:rFonts w:ascii="Arial" w:hAnsi="Arial" w:cs="Arial"/>
                <w:sz w:val="22"/>
                <w:szCs w:val="22"/>
              </w:rPr>
              <w:t>financování projektu STRATIN+. Rozšíření a upřesnění sledovaných KPI je</w:t>
            </w:r>
            <w:r>
              <w:rPr>
                <w:rFonts w:ascii="Arial" w:hAnsi="Arial" w:cs="Arial"/>
                <w:sz w:val="22"/>
                <w:szCs w:val="22"/>
              </w:rPr>
              <w:t xml:space="preserve"> </w:t>
            </w:r>
            <w:r w:rsidRPr="00BB3E33">
              <w:rPr>
                <w:rFonts w:ascii="Arial" w:hAnsi="Arial" w:cs="Arial"/>
                <w:sz w:val="22"/>
                <w:szCs w:val="22"/>
              </w:rPr>
              <w:t>nedostatečné. Na pracovní skupině MŠMT/RVVI byly diskutovány tři sady KPI</w:t>
            </w:r>
            <w:r>
              <w:rPr>
                <w:rFonts w:ascii="Arial" w:hAnsi="Arial" w:cs="Arial"/>
                <w:sz w:val="22"/>
                <w:szCs w:val="22"/>
              </w:rPr>
              <w:t xml:space="preserve"> </w:t>
            </w:r>
            <w:r w:rsidRPr="00BB3E33">
              <w:rPr>
                <w:rFonts w:ascii="Arial" w:hAnsi="Arial" w:cs="Arial"/>
                <w:sz w:val="22"/>
                <w:szCs w:val="22"/>
              </w:rPr>
              <w:t>(</w:t>
            </w:r>
            <w:r w:rsidR="009D5091" w:rsidRPr="00BB3E33">
              <w:rPr>
                <w:rFonts w:ascii="Arial" w:hAnsi="Arial" w:cs="Arial"/>
                <w:sz w:val="22"/>
                <w:szCs w:val="22"/>
              </w:rPr>
              <w:t>Společné – napříč</w:t>
            </w:r>
            <w:r w:rsidRPr="00BB3E33">
              <w:rPr>
                <w:rFonts w:ascii="Arial" w:hAnsi="Arial" w:cs="Arial"/>
                <w:sz w:val="22"/>
                <w:szCs w:val="22"/>
              </w:rPr>
              <w:t xml:space="preserve"> všemi VVI, Oborově </w:t>
            </w:r>
            <w:r w:rsidR="00CA7F09" w:rsidRPr="00BB3E33">
              <w:rPr>
                <w:rFonts w:ascii="Arial" w:hAnsi="Arial" w:cs="Arial"/>
                <w:sz w:val="22"/>
                <w:szCs w:val="22"/>
              </w:rPr>
              <w:t>specifické – pro</w:t>
            </w:r>
            <w:r w:rsidRPr="00BB3E33">
              <w:rPr>
                <w:rFonts w:ascii="Arial" w:hAnsi="Arial" w:cs="Arial"/>
                <w:sz w:val="22"/>
                <w:szCs w:val="22"/>
              </w:rPr>
              <w:t xml:space="preserve"> každou ze šesti skupin,</w:t>
            </w:r>
            <w:r>
              <w:rPr>
                <w:rFonts w:ascii="Arial" w:hAnsi="Arial" w:cs="Arial"/>
                <w:sz w:val="22"/>
                <w:szCs w:val="22"/>
              </w:rPr>
              <w:t xml:space="preserve"> </w:t>
            </w:r>
            <w:r w:rsidR="00CA7F09" w:rsidRPr="00BB3E33">
              <w:rPr>
                <w:rFonts w:ascii="Arial" w:hAnsi="Arial" w:cs="Arial"/>
                <w:sz w:val="22"/>
                <w:szCs w:val="22"/>
              </w:rPr>
              <w:t>Jedinečné – navrhované</w:t>
            </w:r>
            <w:r w:rsidRPr="00BB3E33">
              <w:rPr>
                <w:rFonts w:ascii="Arial" w:hAnsi="Arial" w:cs="Arial"/>
                <w:sz w:val="22"/>
                <w:szCs w:val="22"/>
              </w:rPr>
              <w:t xml:space="preserve"> vedením každé VVI).</w:t>
            </w:r>
          </w:p>
        </w:tc>
        <w:tc>
          <w:tcPr>
            <w:tcW w:w="904" w:type="dxa"/>
            <w:tcBorders>
              <w:top w:val="single" w:sz="4" w:space="0" w:color="auto"/>
              <w:left w:val="single" w:sz="4" w:space="0" w:color="auto"/>
              <w:bottom w:val="single" w:sz="4" w:space="0" w:color="auto"/>
              <w:right w:val="single" w:sz="4" w:space="0" w:color="auto"/>
            </w:tcBorders>
          </w:tcPr>
          <w:p w14:paraId="5EE220D9" w14:textId="0D35BA37" w:rsidR="002E4135" w:rsidRPr="00A95A04" w:rsidRDefault="00835FA5" w:rsidP="00FA07B1">
            <w:pPr>
              <w:spacing w:before="60"/>
              <w:jc w:val="center"/>
              <w:rPr>
                <w:rFonts w:ascii="Arial" w:hAnsi="Arial" w:cs="Arial"/>
                <w:b/>
                <w:bCs/>
                <w:sz w:val="22"/>
                <w:szCs w:val="22"/>
              </w:rPr>
            </w:pPr>
            <w:r>
              <w:rPr>
                <w:rFonts w:ascii="Arial" w:hAnsi="Arial" w:cs="Arial"/>
                <w:b/>
                <w:bCs/>
                <w:sz w:val="22"/>
                <w:szCs w:val="22"/>
              </w:rPr>
              <w:t>Č</w:t>
            </w:r>
          </w:p>
        </w:tc>
        <w:tc>
          <w:tcPr>
            <w:tcW w:w="4575" w:type="dxa"/>
            <w:tcBorders>
              <w:top w:val="single" w:sz="4" w:space="0" w:color="auto"/>
              <w:left w:val="single" w:sz="4" w:space="0" w:color="auto"/>
              <w:bottom w:val="single" w:sz="4" w:space="0" w:color="auto"/>
              <w:right w:val="single" w:sz="4" w:space="0" w:color="auto"/>
            </w:tcBorders>
          </w:tcPr>
          <w:p w14:paraId="7124CF8F" w14:textId="77777777" w:rsidR="0079003B" w:rsidRDefault="006810EA" w:rsidP="00A95A04">
            <w:pPr>
              <w:spacing w:before="60"/>
              <w:jc w:val="both"/>
              <w:rPr>
                <w:rFonts w:ascii="Arial" w:hAnsi="Arial" w:cs="Arial"/>
                <w:sz w:val="22"/>
                <w:szCs w:val="22"/>
              </w:rPr>
            </w:pPr>
            <w:r>
              <w:rPr>
                <w:rFonts w:ascii="Arial" w:hAnsi="Arial" w:cs="Arial"/>
                <w:sz w:val="22"/>
                <w:szCs w:val="22"/>
              </w:rPr>
              <w:t>Výstupy projektu STRATIN+ dávají teoretický základ úpravě, která ve výsledku vede na rozšíření portfolia KPI.</w:t>
            </w:r>
          </w:p>
          <w:p w14:paraId="03270F03" w14:textId="77777777" w:rsidR="006810EA" w:rsidRDefault="006810EA" w:rsidP="00A95A04">
            <w:pPr>
              <w:spacing w:before="60"/>
              <w:jc w:val="both"/>
              <w:rPr>
                <w:rFonts w:ascii="Arial" w:hAnsi="Arial" w:cs="Arial"/>
                <w:sz w:val="22"/>
                <w:szCs w:val="22"/>
              </w:rPr>
            </w:pPr>
          </w:p>
          <w:p w14:paraId="241302A5" w14:textId="6FD2DA0C" w:rsidR="006810EA" w:rsidRPr="00A95A04" w:rsidRDefault="006810EA" w:rsidP="00A95A04">
            <w:pPr>
              <w:spacing w:before="60"/>
              <w:jc w:val="both"/>
              <w:rPr>
                <w:rFonts w:ascii="Arial" w:hAnsi="Arial" w:cs="Arial"/>
                <w:sz w:val="22"/>
                <w:szCs w:val="22"/>
              </w:rPr>
            </w:pPr>
            <w:r>
              <w:rPr>
                <w:rFonts w:ascii="Arial" w:hAnsi="Arial" w:cs="Arial"/>
                <w:sz w:val="22"/>
                <w:szCs w:val="22"/>
              </w:rPr>
              <w:t>KPI byly rozšířeny v souladu s výsledky jednání pracovní skupiny MŠMT/RVV</w:t>
            </w:r>
            <w:r w:rsidR="00835FA5">
              <w:rPr>
                <w:rFonts w:ascii="Arial" w:hAnsi="Arial" w:cs="Arial"/>
                <w:sz w:val="22"/>
                <w:szCs w:val="22"/>
              </w:rPr>
              <w:t xml:space="preserve">, na které došlo k dohodě, že </w:t>
            </w:r>
            <w:r w:rsidR="00C6301C">
              <w:rPr>
                <w:rFonts w:ascii="Arial" w:hAnsi="Arial" w:cs="Arial"/>
                <w:sz w:val="22"/>
                <w:szCs w:val="22"/>
              </w:rPr>
              <w:t>dané</w:t>
            </w:r>
            <w:r w:rsidR="00835FA5">
              <w:rPr>
                <w:rFonts w:ascii="Arial" w:hAnsi="Arial" w:cs="Arial"/>
                <w:sz w:val="22"/>
                <w:szCs w:val="22"/>
              </w:rPr>
              <w:t xml:space="preserve"> KPI jsou dostatečn</w:t>
            </w:r>
            <w:r w:rsidR="00C6301C">
              <w:rPr>
                <w:rFonts w:ascii="Arial" w:hAnsi="Arial" w:cs="Arial"/>
                <w:sz w:val="22"/>
                <w:szCs w:val="22"/>
              </w:rPr>
              <w:t>é</w:t>
            </w:r>
            <w:r w:rsidR="00835FA5">
              <w:rPr>
                <w:rFonts w:ascii="Arial" w:hAnsi="Arial" w:cs="Arial"/>
                <w:sz w:val="22"/>
                <w:szCs w:val="22"/>
              </w:rPr>
              <w:t xml:space="preserve">, a pokud by některý z aktérů považoval za potřebné je upravit/doplnit, bude z jeho strany tato úprava navržena, a to v souladu s </w:t>
            </w:r>
            <w:r w:rsidR="00835FA5" w:rsidRPr="00835FA5">
              <w:rPr>
                <w:rFonts w:ascii="Arial" w:hAnsi="Arial" w:cs="Arial"/>
                <w:sz w:val="22"/>
                <w:szCs w:val="22"/>
              </w:rPr>
              <w:t>čl. 6, odst. 5 legislativních pravidel vlády</w:t>
            </w:r>
            <w:r w:rsidR="00835FA5">
              <w:rPr>
                <w:rFonts w:ascii="Arial" w:hAnsi="Arial" w:cs="Arial"/>
                <w:sz w:val="22"/>
                <w:szCs w:val="22"/>
              </w:rPr>
              <w:t xml:space="preserve">, resp. </w:t>
            </w:r>
            <w:r w:rsidR="00835FA5" w:rsidRPr="00835FA5">
              <w:rPr>
                <w:rFonts w:ascii="Arial" w:hAnsi="Arial" w:cs="Arial"/>
                <w:sz w:val="22"/>
                <w:szCs w:val="22"/>
              </w:rPr>
              <w:t>čl. IV odst. 12 jednacího řádu vlády</w:t>
            </w:r>
            <w:r w:rsidR="00835FA5">
              <w:rPr>
                <w:rFonts w:ascii="Arial" w:hAnsi="Arial" w:cs="Arial"/>
                <w:sz w:val="22"/>
                <w:szCs w:val="22"/>
              </w:rPr>
              <w:t>. Vzhledem k tomu, že MŠMT žádný návrh na úpravu neobdrželo, byla stávající sada KPI identifikována jako dostatečná.</w:t>
            </w:r>
            <w:r>
              <w:rPr>
                <w:rFonts w:ascii="Arial" w:hAnsi="Arial" w:cs="Arial"/>
                <w:sz w:val="22"/>
                <w:szCs w:val="22"/>
              </w:rPr>
              <w:t xml:space="preserve"> </w:t>
            </w:r>
          </w:p>
        </w:tc>
      </w:tr>
      <w:tr w:rsidR="00DD16D0" w:rsidRPr="00C3123C" w14:paraId="78CEBEB0" w14:textId="77777777" w:rsidTr="00FA07B1">
        <w:tc>
          <w:tcPr>
            <w:tcW w:w="1069" w:type="dxa"/>
            <w:tcBorders>
              <w:top w:val="single" w:sz="4" w:space="0" w:color="auto"/>
              <w:left w:val="single" w:sz="4" w:space="0" w:color="auto"/>
              <w:bottom w:val="single" w:sz="4" w:space="0" w:color="auto"/>
              <w:right w:val="single" w:sz="4" w:space="0" w:color="auto"/>
            </w:tcBorders>
          </w:tcPr>
          <w:p w14:paraId="7D99747F" w14:textId="3D05220D" w:rsidR="00DD16D0" w:rsidRDefault="00BB3E33" w:rsidP="00DD16D0">
            <w:pPr>
              <w:spacing w:before="60"/>
              <w:ind w:left="142"/>
              <w:jc w:val="center"/>
              <w:rPr>
                <w:rFonts w:ascii="Arial" w:hAnsi="Arial" w:cs="Arial"/>
                <w:sz w:val="22"/>
                <w:szCs w:val="22"/>
              </w:rPr>
            </w:pPr>
            <w:r>
              <w:rPr>
                <w:rFonts w:ascii="Arial" w:hAnsi="Arial" w:cs="Arial"/>
                <w:sz w:val="22"/>
                <w:szCs w:val="22"/>
              </w:rPr>
              <w:t>4</w:t>
            </w:r>
          </w:p>
        </w:tc>
        <w:tc>
          <w:tcPr>
            <w:tcW w:w="4151" w:type="dxa"/>
            <w:tcBorders>
              <w:top w:val="single" w:sz="4" w:space="0" w:color="auto"/>
              <w:left w:val="single" w:sz="4" w:space="0" w:color="auto"/>
              <w:bottom w:val="single" w:sz="4" w:space="0" w:color="auto"/>
              <w:right w:val="single" w:sz="4" w:space="0" w:color="auto"/>
            </w:tcBorders>
          </w:tcPr>
          <w:p w14:paraId="32D814E4" w14:textId="52C04AFE" w:rsidR="00BB3E33" w:rsidRPr="00BB3E33" w:rsidRDefault="00BB3E33" w:rsidP="00DD16D0">
            <w:pPr>
              <w:spacing w:before="60"/>
              <w:ind w:left="63" w:hanging="13"/>
              <w:jc w:val="both"/>
              <w:rPr>
                <w:rFonts w:ascii="Arial" w:hAnsi="Arial" w:cs="Arial"/>
                <w:b/>
                <w:bCs/>
                <w:sz w:val="22"/>
                <w:szCs w:val="22"/>
                <w:u w:val="single"/>
              </w:rPr>
            </w:pPr>
            <w:r w:rsidRPr="00BB3E33">
              <w:rPr>
                <w:rFonts w:ascii="Arial" w:hAnsi="Arial" w:cs="Arial"/>
                <w:b/>
                <w:bCs/>
                <w:sz w:val="22"/>
                <w:szCs w:val="22"/>
                <w:u w:val="single"/>
              </w:rPr>
              <w:t>Zásadní připomínka:</w:t>
            </w:r>
          </w:p>
          <w:p w14:paraId="5ABD1092" w14:textId="35587554" w:rsidR="00BB3E33" w:rsidRPr="00BB3E33" w:rsidRDefault="00BB3E33" w:rsidP="00BB3E33">
            <w:pPr>
              <w:spacing w:before="60"/>
              <w:ind w:left="63" w:hanging="13"/>
              <w:jc w:val="both"/>
              <w:rPr>
                <w:rFonts w:ascii="Arial" w:hAnsi="Arial" w:cs="Arial"/>
                <w:sz w:val="22"/>
                <w:szCs w:val="22"/>
              </w:rPr>
            </w:pPr>
            <w:r w:rsidRPr="00BB3E33">
              <w:rPr>
                <w:rFonts w:ascii="Arial" w:hAnsi="Arial" w:cs="Arial"/>
                <w:sz w:val="22"/>
                <w:szCs w:val="22"/>
              </w:rPr>
              <w:t xml:space="preserve">Zásadní připomínka č. 4 z usnesení RVVI z 22. 3. 2024, týkající se procesu </w:t>
            </w:r>
            <w:r w:rsidRPr="00BB3E33">
              <w:rPr>
                <w:rFonts w:ascii="Arial" w:hAnsi="Arial" w:cs="Arial"/>
                <w:sz w:val="22"/>
                <w:szCs w:val="22"/>
              </w:rPr>
              <w:lastRenderedPageBreak/>
              <w:t>hodnocení</w:t>
            </w:r>
            <w:r>
              <w:rPr>
                <w:rFonts w:ascii="Arial" w:hAnsi="Arial" w:cs="Arial"/>
                <w:sz w:val="22"/>
                <w:szCs w:val="22"/>
              </w:rPr>
              <w:t xml:space="preserve"> </w:t>
            </w:r>
            <w:r w:rsidRPr="00BB3E33">
              <w:rPr>
                <w:rFonts w:ascii="Arial" w:hAnsi="Arial" w:cs="Arial"/>
                <w:sz w:val="22"/>
                <w:szCs w:val="22"/>
              </w:rPr>
              <w:t>a kodexu hodnotitele – je nutná jednoznačná specifikace českého člena hodnoticí</w:t>
            </w:r>
            <w:r>
              <w:rPr>
                <w:rFonts w:ascii="Arial" w:hAnsi="Arial" w:cs="Arial"/>
                <w:sz w:val="22"/>
                <w:szCs w:val="22"/>
              </w:rPr>
              <w:t xml:space="preserve"> </w:t>
            </w:r>
            <w:r w:rsidRPr="00BB3E33">
              <w:rPr>
                <w:rFonts w:ascii="Arial" w:hAnsi="Arial" w:cs="Arial"/>
                <w:sz w:val="22"/>
                <w:szCs w:val="22"/>
              </w:rPr>
              <w:t>komise – upřesnění textu:</w:t>
            </w:r>
          </w:p>
          <w:p w14:paraId="4BA12B65" w14:textId="779472C2" w:rsidR="00BB3E33" w:rsidRPr="00BB3E33" w:rsidRDefault="00BB3E33" w:rsidP="00BB3E33">
            <w:pPr>
              <w:spacing w:before="60"/>
              <w:ind w:left="63" w:hanging="13"/>
              <w:jc w:val="both"/>
              <w:rPr>
                <w:rFonts w:ascii="Arial" w:hAnsi="Arial" w:cs="Arial"/>
                <w:i/>
                <w:iCs/>
                <w:sz w:val="22"/>
                <w:szCs w:val="22"/>
                <w:lang w:val="en-GB"/>
              </w:rPr>
            </w:pPr>
            <w:r w:rsidRPr="00BB3E33">
              <w:rPr>
                <w:rFonts w:ascii="Arial" w:hAnsi="Arial" w:cs="Arial"/>
                <w:i/>
                <w:iCs/>
                <w:sz w:val="22"/>
                <w:szCs w:val="22"/>
                <w:lang w:val="en-GB"/>
              </w:rPr>
              <w:t xml:space="preserve">The members of the evaluation committee will be representatives </w:t>
            </w:r>
            <w:r w:rsidRPr="00BB3E33">
              <w:rPr>
                <w:rFonts w:ascii="Arial" w:hAnsi="Arial" w:cs="Arial"/>
                <w:b/>
                <w:bCs/>
                <w:i/>
                <w:iCs/>
                <w:sz w:val="22"/>
                <w:szCs w:val="22"/>
                <w:lang w:val="en-GB"/>
              </w:rPr>
              <w:t>of the International scientific community</w:t>
            </w:r>
            <w:r w:rsidRPr="00BB3E33">
              <w:rPr>
                <w:rFonts w:ascii="Arial" w:hAnsi="Arial" w:cs="Arial"/>
                <w:i/>
                <w:iCs/>
                <w:sz w:val="22"/>
                <w:szCs w:val="22"/>
                <w:lang w:val="en-GB"/>
              </w:rPr>
              <w:t xml:space="preserve">, who will be accompanied for each evaluation committee by one representative of the </w:t>
            </w:r>
            <w:proofErr w:type="spellStart"/>
            <w:r w:rsidRPr="00BB3E33">
              <w:rPr>
                <w:rFonts w:ascii="Arial" w:hAnsi="Arial" w:cs="Arial"/>
                <w:i/>
                <w:iCs/>
                <w:sz w:val="22"/>
                <w:szCs w:val="22"/>
                <w:lang w:val="en-GB"/>
              </w:rPr>
              <w:t>czech</w:t>
            </w:r>
            <w:proofErr w:type="spellEnd"/>
            <w:r w:rsidRPr="00BB3E33">
              <w:rPr>
                <w:rFonts w:ascii="Arial" w:hAnsi="Arial" w:cs="Arial"/>
                <w:i/>
                <w:iCs/>
                <w:sz w:val="22"/>
                <w:szCs w:val="22"/>
                <w:lang w:val="en-GB"/>
              </w:rPr>
              <w:t xml:space="preserve"> scientific community, whose nomination will be approved by the Ministry of Education, Youth and Sports.</w:t>
            </w:r>
          </w:p>
          <w:p w14:paraId="03173842" w14:textId="0C878401" w:rsidR="00844554" w:rsidRDefault="00BB3E33" w:rsidP="00BB3E33">
            <w:pPr>
              <w:spacing w:before="60"/>
              <w:ind w:left="63" w:hanging="13"/>
              <w:jc w:val="both"/>
              <w:rPr>
                <w:rFonts w:ascii="Arial" w:hAnsi="Arial" w:cs="Arial"/>
                <w:sz w:val="22"/>
                <w:szCs w:val="22"/>
              </w:rPr>
            </w:pPr>
            <w:r w:rsidRPr="00BB3E33">
              <w:rPr>
                <w:rFonts w:ascii="Arial" w:hAnsi="Arial" w:cs="Arial"/>
                <w:sz w:val="22"/>
                <w:szCs w:val="22"/>
              </w:rPr>
              <w:t>Metodický rámec je nutno doplnit o kodex hodnotitele.</w:t>
            </w:r>
            <w:r w:rsidR="00844554">
              <w:rPr>
                <w:rFonts w:ascii="Arial" w:hAnsi="Arial" w:cs="Arial"/>
                <w:color w:val="000000" w:themeColor="text1"/>
                <w:sz w:val="22"/>
                <w:szCs w:val="22"/>
              </w:rPr>
              <w:t xml:space="preserve"> </w:t>
            </w:r>
            <w:r w:rsidR="00844554" w:rsidRPr="00844554">
              <w:rPr>
                <w:rFonts w:ascii="Arial" w:hAnsi="Arial" w:cs="Arial"/>
                <w:color w:val="000000" w:themeColor="text1"/>
                <w:sz w:val="22"/>
                <w:szCs w:val="22"/>
              </w:rPr>
              <w:t xml:space="preserve"> </w:t>
            </w:r>
          </w:p>
        </w:tc>
        <w:tc>
          <w:tcPr>
            <w:tcW w:w="4496" w:type="dxa"/>
            <w:tcBorders>
              <w:top w:val="single" w:sz="4" w:space="0" w:color="auto"/>
              <w:left w:val="single" w:sz="4" w:space="0" w:color="auto"/>
              <w:bottom w:val="single" w:sz="4" w:space="0" w:color="auto"/>
              <w:right w:val="single" w:sz="4" w:space="0" w:color="auto"/>
            </w:tcBorders>
          </w:tcPr>
          <w:p w14:paraId="18CDB1B0" w14:textId="19E4D620" w:rsidR="00BB3E33" w:rsidRPr="00BB3E33" w:rsidRDefault="00BB3E33" w:rsidP="00BB3E33">
            <w:pPr>
              <w:spacing w:before="60"/>
              <w:jc w:val="both"/>
              <w:rPr>
                <w:rFonts w:ascii="Arial" w:hAnsi="Arial" w:cs="Arial"/>
                <w:color w:val="000000" w:themeColor="text1"/>
                <w:sz w:val="22"/>
                <w:szCs w:val="22"/>
              </w:rPr>
            </w:pPr>
            <w:r w:rsidRPr="00BB3E33">
              <w:rPr>
                <w:rFonts w:ascii="Arial" w:hAnsi="Arial" w:cs="Arial"/>
                <w:color w:val="000000" w:themeColor="text1"/>
                <w:sz w:val="22"/>
                <w:szCs w:val="22"/>
              </w:rPr>
              <w:lastRenderedPageBreak/>
              <w:t xml:space="preserve">Podle původního textu, stejně jako podle textu Předkládací zprávy č. j.: MŠMT-15729/2024-3 – viz Vypořádání Zásadní </w:t>
            </w:r>
            <w:r w:rsidRPr="00BB3E33">
              <w:rPr>
                <w:rFonts w:ascii="Arial" w:hAnsi="Arial" w:cs="Arial"/>
                <w:color w:val="000000" w:themeColor="text1"/>
                <w:sz w:val="22"/>
                <w:szCs w:val="22"/>
              </w:rPr>
              <w:lastRenderedPageBreak/>
              <w:t>připomínky č. 4 (</w:t>
            </w:r>
            <w:r w:rsidRPr="00BB3E33">
              <w:rPr>
                <w:rFonts w:ascii="Arial" w:hAnsi="Arial" w:cs="Arial"/>
                <w:i/>
                <w:iCs/>
                <w:color w:val="000000" w:themeColor="text1"/>
                <w:sz w:val="22"/>
                <w:szCs w:val="22"/>
              </w:rPr>
              <w:t xml:space="preserve">Na základě návrhu RVVI byly rozšířeny hodnoticí panely o člena </w:t>
            </w:r>
            <w:r w:rsidRPr="00BB3E33">
              <w:rPr>
                <w:rFonts w:ascii="Arial" w:hAnsi="Arial" w:cs="Arial"/>
                <w:b/>
                <w:bCs/>
                <w:i/>
                <w:iCs/>
                <w:color w:val="000000" w:themeColor="text1"/>
                <w:sz w:val="22"/>
                <w:szCs w:val="22"/>
              </w:rPr>
              <w:t>se znalostí českého výzkumného prostředí</w:t>
            </w:r>
            <w:r w:rsidRPr="00BB3E33">
              <w:rPr>
                <w:rFonts w:ascii="Arial" w:hAnsi="Arial" w:cs="Arial"/>
                <w:i/>
                <w:iCs/>
                <w:color w:val="000000" w:themeColor="text1"/>
                <w:sz w:val="22"/>
                <w:szCs w:val="22"/>
              </w:rPr>
              <w:t xml:space="preserve"> …</w:t>
            </w:r>
            <w:r w:rsidRPr="00BB3E33">
              <w:rPr>
                <w:rFonts w:ascii="Arial" w:hAnsi="Arial" w:cs="Arial"/>
                <w:color w:val="000000" w:themeColor="text1"/>
                <w:sz w:val="22"/>
                <w:szCs w:val="22"/>
              </w:rPr>
              <w:t>)</w:t>
            </w:r>
            <w:r>
              <w:rPr>
                <w:rFonts w:ascii="Arial" w:hAnsi="Arial" w:cs="Arial"/>
                <w:color w:val="000000" w:themeColor="text1"/>
                <w:sz w:val="22"/>
                <w:szCs w:val="22"/>
              </w:rPr>
              <w:t xml:space="preserve"> </w:t>
            </w:r>
            <w:r w:rsidRPr="00BB3E33">
              <w:rPr>
                <w:rFonts w:ascii="Arial" w:hAnsi="Arial" w:cs="Arial"/>
                <w:color w:val="000000" w:themeColor="text1"/>
                <w:sz w:val="22"/>
                <w:szCs w:val="22"/>
              </w:rPr>
              <w:t xml:space="preserve">nemusí být </w:t>
            </w:r>
            <w:proofErr w:type="spellStart"/>
            <w:r w:rsidRPr="00BB3E33">
              <w:rPr>
                <w:rFonts w:ascii="Arial" w:hAnsi="Arial" w:cs="Arial"/>
                <w:color w:val="000000" w:themeColor="text1"/>
                <w:sz w:val="22"/>
                <w:szCs w:val="22"/>
              </w:rPr>
              <w:t>nominantem</w:t>
            </w:r>
            <w:proofErr w:type="spellEnd"/>
            <w:r w:rsidRPr="00BB3E33">
              <w:rPr>
                <w:rFonts w:ascii="Arial" w:hAnsi="Arial" w:cs="Arial"/>
                <w:color w:val="000000" w:themeColor="text1"/>
                <w:sz w:val="22"/>
                <w:szCs w:val="22"/>
              </w:rPr>
              <w:t xml:space="preserve"> MŠMT český vědec, ale například kterýkoliv úředník s</w:t>
            </w:r>
            <w:r>
              <w:rPr>
                <w:rFonts w:ascii="Arial" w:hAnsi="Arial" w:cs="Arial"/>
                <w:color w:val="000000" w:themeColor="text1"/>
                <w:sz w:val="22"/>
                <w:szCs w:val="22"/>
              </w:rPr>
              <w:t> </w:t>
            </w:r>
            <w:r w:rsidRPr="00BB3E33">
              <w:rPr>
                <w:rFonts w:ascii="Arial" w:hAnsi="Arial" w:cs="Arial"/>
                <w:color w:val="000000" w:themeColor="text1"/>
                <w:sz w:val="22"/>
                <w:szCs w:val="22"/>
              </w:rPr>
              <w:t>vazbou</w:t>
            </w:r>
            <w:r>
              <w:rPr>
                <w:rFonts w:ascii="Arial" w:hAnsi="Arial" w:cs="Arial"/>
                <w:color w:val="000000" w:themeColor="text1"/>
                <w:sz w:val="22"/>
                <w:szCs w:val="22"/>
              </w:rPr>
              <w:t xml:space="preserve"> </w:t>
            </w:r>
            <w:r w:rsidRPr="00BB3E33">
              <w:rPr>
                <w:rFonts w:ascii="Arial" w:hAnsi="Arial" w:cs="Arial"/>
                <w:color w:val="000000" w:themeColor="text1"/>
                <w:sz w:val="22"/>
                <w:szCs w:val="22"/>
              </w:rPr>
              <w:t>na české výzkumné prostředí.</w:t>
            </w:r>
          </w:p>
          <w:p w14:paraId="2CD5E2B7" w14:textId="493F3BC5" w:rsidR="00FD7271" w:rsidRPr="00B92CFC" w:rsidRDefault="00BB3E33" w:rsidP="00BB3E33">
            <w:pPr>
              <w:spacing w:before="60"/>
              <w:jc w:val="both"/>
              <w:rPr>
                <w:rFonts w:ascii="Arial" w:hAnsi="Arial" w:cs="Arial"/>
                <w:sz w:val="22"/>
                <w:szCs w:val="22"/>
              </w:rPr>
            </w:pPr>
            <w:r w:rsidRPr="00BB3E33">
              <w:rPr>
                <w:rFonts w:ascii="Arial" w:hAnsi="Arial" w:cs="Arial"/>
                <w:color w:val="000000" w:themeColor="text1"/>
                <w:sz w:val="22"/>
                <w:szCs w:val="22"/>
              </w:rPr>
              <w:t>Ošetření kodexu hodnotitele až ve smlouvě s hodnotitelem je nedostatečné, RVVI</w:t>
            </w:r>
            <w:r>
              <w:rPr>
                <w:rFonts w:ascii="Arial" w:hAnsi="Arial" w:cs="Arial"/>
                <w:color w:val="000000" w:themeColor="text1"/>
                <w:sz w:val="22"/>
                <w:szCs w:val="22"/>
              </w:rPr>
              <w:t xml:space="preserve"> </w:t>
            </w:r>
            <w:r w:rsidRPr="00BB3E33">
              <w:rPr>
                <w:rFonts w:ascii="Arial" w:hAnsi="Arial" w:cs="Arial"/>
                <w:color w:val="000000" w:themeColor="text1"/>
                <w:sz w:val="22"/>
                <w:szCs w:val="22"/>
              </w:rPr>
              <w:t>požadovala, aby byl součástí metodického rámce.</w:t>
            </w:r>
          </w:p>
        </w:tc>
        <w:tc>
          <w:tcPr>
            <w:tcW w:w="904" w:type="dxa"/>
            <w:tcBorders>
              <w:top w:val="single" w:sz="4" w:space="0" w:color="auto"/>
              <w:left w:val="single" w:sz="4" w:space="0" w:color="auto"/>
              <w:bottom w:val="single" w:sz="4" w:space="0" w:color="auto"/>
              <w:right w:val="single" w:sz="4" w:space="0" w:color="auto"/>
            </w:tcBorders>
          </w:tcPr>
          <w:p w14:paraId="24675CCD" w14:textId="4270F903" w:rsidR="00DD16D0" w:rsidRPr="00A95A04" w:rsidRDefault="00835FA5" w:rsidP="00DD16D0">
            <w:pPr>
              <w:spacing w:before="60"/>
              <w:jc w:val="center"/>
              <w:rPr>
                <w:rFonts w:ascii="Arial" w:hAnsi="Arial" w:cs="Arial"/>
                <w:b/>
                <w:bCs/>
                <w:sz w:val="22"/>
                <w:szCs w:val="22"/>
              </w:rPr>
            </w:pPr>
            <w:r>
              <w:rPr>
                <w:rFonts w:ascii="Arial" w:hAnsi="Arial" w:cs="Arial"/>
                <w:b/>
                <w:bCs/>
                <w:sz w:val="22"/>
                <w:szCs w:val="22"/>
              </w:rPr>
              <w:lastRenderedPageBreak/>
              <w:t>N</w:t>
            </w:r>
          </w:p>
        </w:tc>
        <w:tc>
          <w:tcPr>
            <w:tcW w:w="4575" w:type="dxa"/>
            <w:tcBorders>
              <w:top w:val="single" w:sz="4" w:space="0" w:color="auto"/>
              <w:left w:val="single" w:sz="4" w:space="0" w:color="auto"/>
              <w:bottom w:val="single" w:sz="4" w:space="0" w:color="auto"/>
              <w:right w:val="single" w:sz="4" w:space="0" w:color="auto"/>
            </w:tcBorders>
          </w:tcPr>
          <w:p w14:paraId="20989D0D" w14:textId="19080533" w:rsidR="006B4F24" w:rsidRDefault="005D26E4" w:rsidP="00DD16D0">
            <w:pPr>
              <w:spacing w:before="60"/>
              <w:jc w:val="both"/>
              <w:rPr>
                <w:rFonts w:ascii="Arial" w:hAnsi="Arial" w:cs="Arial"/>
                <w:sz w:val="22"/>
                <w:szCs w:val="22"/>
              </w:rPr>
            </w:pPr>
            <w:r>
              <w:rPr>
                <w:rFonts w:ascii="Arial" w:hAnsi="Arial" w:cs="Arial"/>
                <w:sz w:val="22"/>
                <w:szCs w:val="22"/>
              </w:rPr>
              <w:t>Tvrzení</w:t>
            </w:r>
            <w:r w:rsidR="00835FA5">
              <w:rPr>
                <w:rFonts w:ascii="Arial" w:hAnsi="Arial" w:cs="Arial"/>
                <w:sz w:val="22"/>
                <w:szCs w:val="22"/>
              </w:rPr>
              <w:t xml:space="preserve">, že </w:t>
            </w:r>
            <w:r>
              <w:rPr>
                <w:rFonts w:ascii="Arial" w:hAnsi="Arial" w:cs="Arial"/>
                <w:sz w:val="22"/>
                <w:szCs w:val="22"/>
              </w:rPr>
              <w:t xml:space="preserve">členem hodnoticího panelu (nikoliv </w:t>
            </w:r>
            <w:proofErr w:type="spellStart"/>
            <w:r>
              <w:rPr>
                <w:rFonts w:ascii="Arial" w:hAnsi="Arial" w:cs="Arial"/>
                <w:sz w:val="22"/>
                <w:szCs w:val="22"/>
              </w:rPr>
              <w:t>nominantem</w:t>
            </w:r>
            <w:proofErr w:type="spellEnd"/>
            <w:r>
              <w:rPr>
                <w:rFonts w:ascii="Arial" w:hAnsi="Arial" w:cs="Arial"/>
                <w:sz w:val="22"/>
                <w:szCs w:val="22"/>
              </w:rPr>
              <w:t xml:space="preserve"> MŠMT, jelikož takový status v rámci hodnoticího panelu </w:t>
            </w:r>
            <w:r>
              <w:rPr>
                <w:rFonts w:ascii="Arial" w:hAnsi="Arial" w:cs="Arial"/>
                <w:sz w:val="22"/>
                <w:szCs w:val="22"/>
              </w:rPr>
              <w:lastRenderedPageBreak/>
              <w:t xml:space="preserve">neexistuje), může být „kterýkoliv úředník s vazbou na české výzkumné prostředí“ se zakládá na domněnce. Text byl upraven a odsouhlasen společnou pracovní skupinou MŠMT/RVVI v navržené podobě. </w:t>
            </w:r>
            <w:r w:rsidR="006B4F24">
              <w:rPr>
                <w:rFonts w:ascii="Arial" w:hAnsi="Arial" w:cs="Arial"/>
                <w:sz w:val="22"/>
                <w:szCs w:val="22"/>
              </w:rPr>
              <w:t>Pro MŠMT je zásadní, aby byl tento člen způsobilý zhodnotit návrhy projektů z odborného hlediska, nikoliv úředního.</w:t>
            </w:r>
          </w:p>
          <w:p w14:paraId="35FA1F26" w14:textId="77777777" w:rsidR="00061543" w:rsidRDefault="00061543" w:rsidP="00DD16D0">
            <w:pPr>
              <w:spacing w:before="60"/>
              <w:jc w:val="both"/>
              <w:rPr>
                <w:rFonts w:ascii="Arial" w:hAnsi="Arial" w:cs="Arial"/>
                <w:sz w:val="22"/>
                <w:szCs w:val="22"/>
              </w:rPr>
            </w:pPr>
          </w:p>
          <w:p w14:paraId="2C5FF88B" w14:textId="37223666" w:rsidR="00061543" w:rsidRPr="00A95A04" w:rsidRDefault="00061543" w:rsidP="00DD16D0">
            <w:pPr>
              <w:spacing w:before="60"/>
              <w:jc w:val="both"/>
              <w:rPr>
                <w:rFonts w:ascii="Arial" w:hAnsi="Arial" w:cs="Arial"/>
                <w:sz w:val="22"/>
                <w:szCs w:val="22"/>
              </w:rPr>
            </w:pPr>
            <w:r>
              <w:rPr>
                <w:rFonts w:ascii="Arial" w:hAnsi="Arial" w:cs="Arial"/>
                <w:sz w:val="22"/>
                <w:szCs w:val="22"/>
              </w:rPr>
              <w:t xml:space="preserve">Z připomínky není patrné, proč je ošetření kodexu hodnotitele ve smlouvě s hodnotitelem nedostatečné. Smlouva je hodnotitelem přímo podepsána, čímž je nezpochybnitelná její závaznost. </w:t>
            </w:r>
          </w:p>
        </w:tc>
      </w:tr>
      <w:tr w:rsidR="00FD7271" w:rsidRPr="00C3123C" w14:paraId="455D5F7A" w14:textId="77777777" w:rsidTr="00FA07B1">
        <w:tc>
          <w:tcPr>
            <w:tcW w:w="1069" w:type="dxa"/>
            <w:tcBorders>
              <w:top w:val="single" w:sz="4" w:space="0" w:color="auto"/>
              <w:left w:val="single" w:sz="4" w:space="0" w:color="auto"/>
              <w:bottom w:val="single" w:sz="4" w:space="0" w:color="auto"/>
              <w:right w:val="single" w:sz="4" w:space="0" w:color="auto"/>
            </w:tcBorders>
          </w:tcPr>
          <w:p w14:paraId="65D0E84A" w14:textId="7CC9FF44" w:rsidR="00FD7271" w:rsidRDefault="00BB3E33" w:rsidP="00FD7271">
            <w:pPr>
              <w:spacing w:before="60"/>
              <w:ind w:left="142"/>
              <w:jc w:val="center"/>
              <w:rPr>
                <w:rFonts w:ascii="Arial" w:hAnsi="Arial" w:cs="Arial"/>
                <w:sz w:val="22"/>
                <w:szCs w:val="22"/>
              </w:rPr>
            </w:pPr>
            <w:r>
              <w:rPr>
                <w:rFonts w:ascii="Arial" w:hAnsi="Arial" w:cs="Arial"/>
                <w:sz w:val="22"/>
                <w:szCs w:val="22"/>
              </w:rPr>
              <w:lastRenderedPageBreak/>
              <w:t>5</w:t>
            </w:r>
          </w:p>
        </w:tc>
        <w:tc>
          <w:tcPr>
            <w:tcW w:w="4151" w:type="dxa"/>
            <w:tcBorders>
              <w:top w:val="single" w:sz="4" w:space="0" w:color="auto"/>
              <w:left w:val="single" w:sz="4" w:space="0" w:color="auto"/>
              <w:bottom w:val="single" w:sz="4" w:space="0" w:color="auto"/>
              <w:right w:val="single" w:sz="4" w:space="0" w:color="auto"/>
            </w:tcBorders>
          </w:tcPr>
          <w:p w14:paraId="2A8A4A13" w14:textId="77777777" w:rsidR="00BB3E33" w:rsidRPr="00BB3E33" w:rsidRDefault="00BB3E33" w:rsidP="00BB3E33">
            <w:pPr>
              <w:spacing w:before="60"/>
              <w:ind w:left="63" w:hanging="13"/>
              <w:jc w:val="both"/>
              <w:rPr>
                <w:rFonts w:ascii="Arial" w:hAnsi="Arial" w:cs="Arial"/>
                <w:b/>
                <w:bCs/>
                <w:sz w:val="22"/>
                <w:szCs w:val="22"/>
                <w:u w:val="single"/>
              </w:rPr>
            </w:pPr>
            <w:r w:rsidRPr="00BB3E33">
              <w:rPr>
                <w:rFonts w:ascii="Arial" w:hAnsi="Arial" w:cs="Arial"/>
                <w:b/>
                <w:bCs/>
                <w:sz w:val="22"/>
                <w:szCs w:val="22"/>
                <w:u w:val="single"/>
              </w:rPr>
              <w:t>Doporučující připomínka:</w:t>
            </w:r>
          </w:p>
          <w:p w14:paraId="1A6C54E6" w14:textId="30AB410C" w:rsidR="00FD7271" w:rsidRDefault="00BB3E33" w:rsidP="00FD7271">
            <w:pPr>
              <w:spacing w:before="60"/>
              <w:ind w:left="63" w:hanging="13"/>
              <w:jc w:val="both"/>
              <w:rPr>
                <w:rFonts w:ascii="Arial" w:hAnsi="Arial" w:cs="Arial"/>
                <w:sz w:val="22"/>
                <w:szCs w:val="22"/>
              </w:rPr>
            </w:pPr>
            <w:r w:rsidRPr="00BB3E33">
              <w:rPr>
                <w:rFonts w:ascii="Arial" w:hAnsi="Arial" w:cs="Arial"/>
                <w:color w:val="000000" w:themeColor="text1"/>
                <w:sz w:val="22"/>
                <w:szCs w:val="22"/>
              </w:rPr>
              <w:t>Je třeba zajistit, aby priority českého výzkumu byly skutečně náležitě zhodnoceny.</w:t>
            </w:r>
          </w:p>
        </w:tc>
        <w:tc>
          <w:tcPr>
            <w:tcW w:w="4496" w:type="dxa"/>
            <w:tcBorders>
              <w:top w:val="single" w:sz="4" w:space="0" w:color="auto"/>
              <w:left w:val="single" w:sz="4" w:space="0" w:color="auto"/>
              <w:bottom w:val="single" w:sz="4" w:space="0" w:color="auto"/>
              <w:right w:val="single" w:sz="4" w:space="0" w:color="auto"/>
            </w:tcBorders>
          </w:tcPr>
          <w:p w14:paraId="4901B241" w14:textId="54C7573B" w:rsidR="00FD7271" w:rsidRPr="00811B38" w:rsidRDefault="00BB3E33" w:rsidP="00FD7271">
            <w:pPr>
              <w:spacing w:before="60"/>
              <w:jc w:val="both"/>
              <w:rPr>
                <w:rFonts w:ascii="Arial" w:hAnsi="Arial" w:cs="Arial"/>
                <w:sz w:val="22"/>
                <w:szCs w:val="22"/>
              </w:rPr>
            </w:pPr>
            <w:r w:rsidRPr="00BB3E33">
              <w:rPr>
                <w:rFonts w:ascii="Arial" w:hAnsi="Arial" w:cs="Arial"/>
                <w:sz w:val="22"/>
                <w:szCs w:val="22"/>
              </w:rPr>
              <w:t>Jeden „český“ člen v pětičlenné mezinárodní komisi, kde 4 další nejsou zhodnocení</w:t>
            </w:r>
            <w:r>
              <w:rPr>
                <w:rFonts w:ascii="Arial" w:hAnsi="Arial" w:cs="Arial"/>
                <w:sz w:val="22"/>
                <w:szCs w:val="22"/>
              </w:rPr>
              <w:t xml:space="preserve"> </w:t>
            </w:r>
            <w:r w:rsidRPr="00BB3E33">
              <w:rPr>
                <w:rFonts w:ascii="Arial" w:hAnsi="Arial" w:cs="Arial"/>
                <w:sz w:val="22"/>
                <w:szCs w:val="22"/>
              </w:rPr>
              <w:t>schopni, rozhodně nestačí. Takovéto zohlednění souladu s potřebami ČR by mělo</w:t>
            </w:r>
            <w:r>
              <w:rPr>
                <w:rFonts w:ascii="Arial" w:hAnsi="Arial" w:cs="Arial"/>
                <w:sz w:val="22"/>
                <w:szCs w:val="22"/>
              </w:rPr>
              <w:t xml:space="preserve"> </w:t>
            </w:r>
            <w:r w:rsidRPr="00BB3E33">
              <w:rPr>
                <w:rFonts w:ascii="Arial" w:hAnsi="Arial" w:cs="Arial"/>
                <w:sz w:val="22"/>
                <w:szCs w:val="22"/>
              </w:rPr>
              <w:t>provést MŠMT jiným způsobem, např. komisí složenou ze zástupců rezortů, která by</w:t>
            </w:r>
            <w:r w:rsidR="00811B38">
              <w:rPr>
                <w:rFonts w:ascii="Arial" w:hAnsi="Arial" w:cs="Arial"/>
                <w:sz w:val="22"/>
                <w:szCs w:val="22"/>
              </w:rPr>
              <w:t xml:space="preserve"> </w:t>
            </w:r>
            <w:r w:rsidR="00811B38" w:rsidRPr="00811B38">
              <w:rPr>
                <w:rFonts w:ascii="Arial" w:hAnsi="Arial" w:cs="Arial"/>
                <w:sz w:val="22"/>
                <w:szCs w:val="22"/>
              </w:rPr>
              <w:t>se měla vyjádřit k potřebnosti a závažnosti tématu pro ČR v souladu s</w:t>
            </w:r>
            <w:r w:rsidR="00811B38">
              <w:rPr>
                <w:rFonts w:ascii="Arial" w:hAnsi="Arial" w:cs="Arial"/>
                <w:sz w:val="22"/>
                <w:szCs w:val="22"/>
              </w:rPr>
              <w:t> </w:t>
            </w:r>
            <w:r w:rsidR="00811B38" w:rsidRPr="00811B38">
              <w:rPr>
                <w:rFonts w:ascii="Arial" w:hAnsi="Arial" w:cs="Arial"/>
                <w:sz w:val="22"/>
                <w:szCs w:val="22"/>
              </w:rPr>
              <w:t>názory</w:t>
            </w:r>
            <w:r w:rsidR="00811B38">
              <w:rPr>
                <w:rFonts w:ascii="Arial" w:hAnsi="Arial" w:cs="Arial"/>
                <w:sz w:val="22"/>
                <w:szCs w:val="22"/>
              </w:rPr>
              <w:t xml:space="preserve"> </w:t>
            </w:r>
            <w:r w:rsidR="00811B38" w:rsidRPr="00811B38">
              <w:rPr>
                <w:rFonts w:ascii="Arial" w:hAnsi="Arial" w:cs="Arial"/>
                <w:sz w:val="22"/>
                <w:szCs w:val="22"/>
              </w:rPr>
              <w:t>odborných platforem.</w:t>
            </w:r>
          </w:p>
        </w:tc>
        <w:tc>
          <w:tcPr>
            <w:tcW w:w="904" w:type="dxa"/>
            <w:tcBorders>
              <w:top w:val="single" w:sz="4" w:space="0" w:color="auto"/>
              <w:left w:val="single" w:sz="4" w:space="0" w:color="auto"/>
              <w:bottom w:val="single" w:sz="4" w:space="0" w:color="auto"/>
              <w:right w:val="single" w:sz="4" w:space="0" w:color="auto"/>
            </w:tcBorders>
          </w:tcPr>
          <w:p w14:paraId="61203204" w14:textId="54767571" w:rsidR="00FD7271" w:rsidRPr="00A95A04" w:rsidRDefault="006B4F24" w:rsidP="00FD7271">
            <w:pPr>
              <w:spacing w:before="60"/>
              <w:jc w:val="center"/>
              <w:rPr>
                <w:rFonts w:ascii="Arial" w:hAnsi="Arial" w:cs="Arial"/>
                <w:b/>
                <w:bCs/>
                <w:sz w:val="22"/>
                <w:szCs w:val="22"/>
              </w:rPr>
            </w:pPr>
            <w:r>
              <w:rPr>
                <w:rFonts w:ascii="Arial" w:hAnsi="Arial" w:cs="Arial"/>
                <w:b/>
                <w:bCs/>
                <w:sz w:val="22"/>
                <w:szCs w:val="22"/>
              </w:rPr>
              <w:t>Č</w:t>
            </w:r>
          </w:p>
        </w:tc>
        <w:tc>
          <w:tcPr>
            <w:tcW w:w="4575" w:type="dxa"/>
            <w:tcBorders>
              <w:top w:val="single" w:sz="4" w:space="0" w:color="auto"/>
              <w:left w:val="single" w:sz="4" w:space="0" w:color="auto"/>
              <w:bottom w:val="single" w:sz="4" w:space="0" w:color="auto"/>
              <w:right w:val="single" w:sz="4" w:space="0" w:color="auto"/>
            </w:tcBorders>
          </w:tcPr>
          <w:p w14:paraId="2B2BAB75" w14:textId="358EB6EC" w:rsidR="00E522C7" w:rsidRPr="00A95A04" w:rsidRDefault="00E522C7" w:rsidP="00FD7271">
            <w:pPr>
              <w:spacing w:before="60"/>
              <w:jc w:val="both"/>
              <w:rPr>
                <w:rFonts w:ascii="Arial" w:hAnsi="Arial" w:cs="Arial"/>
                <w:sz w:val="22"/>
                <w:szCs w:val="22"/>
              </w:rPr>
            </w:pPr>
            <w:r>
              <w:rPr>
                <w:rFonts w:ascii="Arial" w:hAnsi="Arial" w:cs="Arial"/>
                <w:sz w:val="22"/>
                <w:szCs w:val="22"/>
              </w:rPr>
              <w:t>Účelem mezinárodního hodnocení je zhodnocení kvality předkládaných návrhů. Priority českého výzkumu může v rámci svého usnesení zohlednit vláda při schvalování velkých výzkumných infrastruktur.</w:t>
            </w:r>
            <w:r w:rsidR="006B4F24">
              <w:rPr>
                <w:rFonts w:ascii="Arial" w:hAnsi="Arial" w:cs="Arial"/>
                <w:sz w:val="22"/>
                <w:szCs w:val="22"/>
              </w:rPr>
              <w:t xml:space="preserve"> Soulad s prioritami a potřebami výzkumných oblastí na národní úrovni bude </w:t>
            </w:r>
            <w:r w:rsidR="002C2617">
              <w:rPr>
                <w:rFonts w:ascii="Arial" w:hAnsi="Arial" w:cs="Arial"/>
                <w:sz w:val="22"/>
                <w:szCs w:val="22"/>
              </w:rPr>
              <w:t>předem posouzena</w:t>
            </w:r>
            <w:r w:rsidR="006B4F24">
              <w:rPr>
                <w:rFonts w:ascii="Arial" w:hAnsi="Arial" w:cs="Arial"/>
                <w:sz w:val="22"/>
                <w:szCs w:val="22"/>
              </w:rPr>
              <w:t xml:space="preserve"> prostřednictvím sektorových platforem</w:t>
            </w:r>
            <w:r w:rsidR="0064167A">
              <w:rPr>
                <w:rFonts w:ascii="Arial" w:hAnsi="Arial" w:cs="Arial"/>
                <w:sz w:val="22"/>
                <w:szCs w:val="22"/>
              </w:rPr>
              <w:t>, při schvalování velkých výzkumných infrastruktur pro období 2027+ může být posouzena příslušným poradním orgánem vlády, který tyto priority stanovuje</w:t>
            </w:r>
            <w:r w:rsidR="006B4F24">
              <w:rPr>
                <w:rFonts w:ascii="Arial" w:hAnsi="Arial" w:cs="Arial"/>
                <w:sz w:val="22"/>
                <w:szCs w:val="22"/>
              </w:rPr>
              <w:t>.</w:t>
            </w:r>
          </w:p>
        </w:tc>
      </w:tr>
      <w:tr w:rsidR="00DD16D0" w:rsidRPr="00C3123C" w14:paraId="7F308B91" w14:textId="77777777" w:rsidTr="009652C9">
        <w:tc>
          <w:tcPr>
            <w:tcW w:w="1069" w:type="dxa"/>
            <w:tcBorders>
              <w:top w:val="single" w:sz="4" w:space="0" w:color="auto"/>
              <w:left w:val="single" w:sz="4" w:space="0" w:color="auto"/>
              <w:bottom w:val="single" w:sz="4" w:space="0" w:color="auto"/>
              <w:right w:val="single" w:sz="4" w:space="0" w:color="auto"/>
            </w:tcBorders>
          </w:tcPr>
          <w:p w14:paraId="2B4849E2" w14:textId="3FF6D7C1" w:rsidR="00DD16D0" w:rsidRDefault="00811B38" w:rsidP="00204329">
            <w:pPr>
              <w:spacing w:before="60"/>
              <w:ind w:left="142"/>
              <w:jc w:val="center"/>
              <w:rPr>
                <w:rFonts w:ascii="Arial" w:hAnsi="Arial" w:cs="Arial"/>
                <w:sz w:val="22"/>
                <w:szCs w:val="22"/>
              </w:rPr>
            </w:pPr>
            <w:r>
              <w:rPr>
                <w:rFonts w:ascii="Arial" w:hAnsi="Arial" w:cs="Arial"/>
                <w:sz w:val="22"/>
                <w:szCs w:val="22"/>
              </w:rPr>
              <w:t>6</w:t>
            </w:r>
          </w:p>
        </w:tc>
        <w:tc>
          <w:tcPr>
            <w:tcW w:w="4151" w:type="dxa"/>
            <w:tcBorders>
              <w:top w:val="single" w:sz="4" w:space="0" w:color="auto"/>
              <w:left w:val="single" w:sz="4" w:space="0" w:color="auto"/>
              <w:bottom w:val="single" w:sz="4" w:space="0" w:color="auto"/>
              <w:right w:val="single" w:sz="4" w:space="0" w:color="auto"/>
            </w:tcBorders>
          </w:tcPr>
          <w:p w14:paraId="4386515B" w14:textId="12EBE388" w:rsidR="00811B38" w:rsidRDefault="00811B38" w:rsidP="00DD16D0">
            <w:pPr>
              <w:spacing w:before="60"/>
              <w:ind w:left="63" w:hanging="13"/>
              <w:jc w:val="both"/>
              <w:rPr>
                <w:rFonts w:ascii="Arial" w:hAnsi="Arial" w:cs="Arial"/>
                <w:sz w:val="22"/>
                <w:szCs w:val="22"/>
              </w:rPr>
            </w:pPr>
            <w:r w:rsidRPr="00BB3E33">
              <w:rPr>
                <w:rFonts w:ascii="Arial" w:hAnsi="Arial" w:cs="Arial"/>
                <w:b/>
                <w:bCs/>
                <w:sz w:val="22"/>
                <w:szCs w:val="22"/>
                <w:u w:val="single"/>
              </w:rPr>
              <w:t>Doporučující připomínka:</w:t>
            </w:r>
          </w:p>
          <w:p w14:paraId="0F472A49" w14:textId="5BADF10B" w:rsidR="00DD16D0" w:rsidRPr="002B5B57" w:rsidRDefault="00811B38" w:rsidP="00811B38">
            <w:pPr>
              <w:spacing w:before="60"/>
              <w:ind w:left="63" w:hanging="13"/>
              <w:jc w:val="both"/>
              <w:rPr>
                <w:rFonts w:ascii="Arial" w:hAnsi="Arial" w:cs="Arial"/>
                <w:color w:val="7030A0"/>
                <w:sz w:val="22"/>
                <w:szCs w:val="22"/>
              </w:rPr>
            </w:pPr>
            <w:r w:rsidRPr="00811B38">
              <w:rPr>
                <w:rFonts w:ascii="Arial" w:hAnsi="Arial" w:cs="Arial"/>
                <w:sz w:val="22"/>
                <w:szCs w:val="22"/>
              </w:rPr>
              <w:t>Zásadní připomínka č. 6 z usnesení RVVI z 22. 3. 2024, týkající se rozdělení panelů</w:t>
            </w:r>
            <w:r>
              <w:rPr>
                <w:rFonts w:ascii="Arial" w:hAnsi="Arial" w:cs="Arial"/>
                <w:sz w:val="22"/>
                <w:szCs w:val="22"/>
              </w:rPr>
              <w:t xml:space="preserve"> </w:t>
            </w:r>
            <w:r w:rsidRPr="00811B38">
              <w:rPr>
                <w:rFonts w:ascii="Arial" w:hAnsi="Arial" w:cs="Arial"/>
                <w:sz w:val="22"/>
                <w:szCs w:val="22"/>
              </w:rPr>
              <w:t xml:space="preserve">do dílčích </w:t>
            </w:r>
            <w:proofErr w:type="spellStart"/>
            <w:r w:rsidRPr="00811B38">
              <w:rPr>
                <w:rFonts w:ascii="Arial" w:hAnsi="Arial" w:cs="Arial"/>
                <w:sz w:val="22"/>
                <w:szCs w:val="22"/>
              </w:rPr>
              <w:t>podpanelů</w:t>
            </w:r>
            <w:proofErr w:type="spellEnd"/>
            <w:r w:rsidRPr="00811B38">
              <w:rPr>
                <w:rFonts w:ascii="Arial" w:hAnsi="Arial" w:cs="Arial"/>
                <w:sz w:val="22"/>
                <w:szCs w:val="22"/>
              </w:rPr>
              <w:t>, nebyla nijak reflektována či vypořádána.</w:t>
            </w:r>
          </w:p>
        </w:tc>
        <w:tc>
          <w:tcPr>
            <w:tcW w:w="4496" w:type="dxa"/>
            <w:tcBorders>
              <w:top w:val="single" w:sz="4" w:space="0" w:color="auto"/>
              <w:left w:val="single" w:sz="4" w:space="0" w:color="auto"/>
              <w:bottom w:val="single" w:sz="4" w:space="0" w:color="auto"/>
              <w:right w:val="single" w:sz="4" w:space="0" w:color="auto"/>
            </w:tcBorders>
          </w:tcPr>
          <w:p w14:paraId="22466006" w14:textId="376D72AE" w:rsidR="00811B38" w:rsidRPr="00811B38" w:rsidRDefault="00811B38" w:rsidP="00811B38">
            <w:pPr>
              <w:pStyle w:val="Default"/>
              <w:jc w:val="both"/>
              <w:rPr>
                <w:rFonts w:ascii="Arial" w:hAnsi="Arial" w:cs="Arial"/>
                <w:sz w:val="22"/>
                <w:szCs w:val="22"/>
              </w:rPr>
            </w:pPr>
            <w:r w:rsidRPr="00811B38">
              <w:rPr>
                <w:rFonts w:ascii="Arial" w:hAnsi="Arial" w:cs="Arial"/>
                <w:sz w:val="22"/>
                <w:szCs w:val="22"/>
              </w:rPr>
              <w:t>Některé oblasti (</w:t>
            </w:r>
            <w:proofErr w:type="spellStart"/>
            <w:r w:rsidRPr="00811B38">
              <w:rPr>
                <w:rFonts w:ascii="Arial" w:hAnsi="Arial" w:cs="Arial"/>
                <w:sz w:val="22"/>
                <w:szCs w:val="22"/>
              </w:rPr>
              <w:t>Physical</w:t>
            </w:r>
            <w:proofErr w:type="spellEnd"/>
            <w:r w:rsidRPr="00811B38">
              <w:rPr>
                <w:rFonts w:ascii="Arial" w:hAnsi="Arial" w:cs="Arial"/>
                <w:sz w:val="22"/>
                <w:szCs w:val="22"/>
              </w:rPr>
              <w:t xml:space="preserve"> </w:t>
            </w:r>
            <w:proofErr w:type="spellStart"/>
            <w:r w:rsidRPr="00811B38">
              <w:rPr>
                <w:rFonts w:ascii="Arial" w:hAnsi="Arial" w:cs="Arial"/>
                <w:sz w:val="22"/>
                <w:szCs w:val="22"/>
              </w:rPr>
              <w:t>Sciences</w:t>
            </w:r>
            <w:proofErr w:type="spellEnd"/>
            <w:r w:rsidRPr="00811B38">
              <w:rPr>
                <w:rFonts w:ascii="Arial" w:hAnsi="Arial" w:cs="Arial"/>
                <w:sz w:val="22"/>
                <w:szCs w:val="22"/>
              </w:rPr>
              <w:t xml:space="preserve"> and </w:t>
            </w:r>
            <w:proofErr w:type="spellStart"/>
            <w:r w:rsidRPr="00811B38">
              <w:rPr>
                <w:rFonts w:ascii="Arial" w:hAnsi="Arial" w:cs="Arial"/>
                <w:sz w:val="22"/>
                <w:szCs w:val="22"/>
              </w:rPr>
              <w:t>Engineering</w:t>
            </w:r>
            <w:proofErr w:type="spellEnd"/>
            <w:r w:rsidRPr="00811B38">
              <w:rPr>
                <w:rFonts w:ascii="Arial" w:hAnsi="Arial" w:cs="Arial"/>
                <w:sz w:val="22"/>
                <w:szCs w:val="22"/>
              </w:rPr>
              <w:t xml:space="preserve"> a </w:t>
            </w:r>
            <w:proofErr w:type="spellStart"/>
            <w:r w:rsidRPr="00811B38">
              <w:rPr>
                <w:rFonts w:ascii="Arial" w:hAnsi="Arial" w:cs="Arial"/>
                <w:sz w:val="22"/>
                <w:szCs w:val="22"/>
              </w:rPr>
              <w:t>Health</w:t>
            </w:r>
            <w:proofErr w:type="spellEnd"/>
            <w:r w:rsidRPr="00811B38">
              <w:rPr>
                <w:rFonts w:ascii="Arial" w:hAnsi="Arial" w:cs="Arial"/>
                <w:sz w:val="22"/>
                <w:szCs w:val="22"/>
              </w:rPr>
              <w:t xml:space="preserve"> and Food) jsou pro jeden</w:t>
            </w:r>
            <w:r>
              <w:rPr>
                <w:rFonts w:ascii="Arial" w:hAnsi="Arial" w:cs="Arial"/>
                <w:sz w:val="22"/>
                <w:szCs w:val="22"/>
              </w:rPr>
              <w:t xml:space="preserve"> </w:t>
            </w:r>
            <w:r w:rsidRPr="00811B38">
              <w:rPr>
                <w:rFonts w:ascii="Arial" w:hAnsi="Arial" w:cs="Arial"/>
                <w:sz w:val="22"/>
                <w:szCs w:val="22"/>
              </w:rPr>
              <w:t>i sedmičlenný panel opravdu velké a nelze tak zajistit objektivní hodnocení panelu</w:t>
            </w:r>
          </w:p>
          <w:p w14:paraId="382DFB6D" w14:textId="17959556" w:rsidR="00DD16D0" w:rsidRDefault="00811B38" w:rsidP="00811B38">
            <w:pPr>
              <w:pStyle w:val="Default"/>
              <w:jc w:val="both"/>
              <w:rPr>
                <w:rFonts w:ascii="Arial" w:hAnsi="Arial" w:cs="Arial"/>
                <w:sz w:val="22"/>
                <w:szCs w:val="22"/>
              </w:rPr>
            </w:pPr>
            <w:r w:rsidRPr="00811B38">
              <w:rPr>
                <w:rFonts w:ascii="Arial" w:hAnsi="Arial" w:cs="Arial"/>
                <w:sz w:val="22"/>
                <w:szCs w:val="22"/>
              </w:rPr>
              <w:t xml:space="preserve">v plné šíři odborného záběru. Rozdělení do </w:t>
            </w:r>
            <w:proofErr w:type="spellStart"/>
            <w:r w:rsidRPr="00811B38">
              <w:rPr>
                <w:rFonts w:ascii="Arial" w:hAnsi="Arial" w:cs="Arial"/>
                <w:sz w:val="22"/>
                <w:szCs w:val="22"/>
              </w:rPr>
              <w:t>podpanelů</w:t>
            </w:r>
            <w:proofErr w:type="spellEnd"/>
            <w:r w:rsidRPr="00811B38">
              <w:rPr>
                <w:rFonts w:ascii="Arial" w:hAnsi="Arial" w:cs="Arial"/>
                <w:sz w:val="22"/>
                <w:szCs w:val="22"/>
              </w:rPr>
              <w:t xml:space="preserve"> doporučené Radou v</w:t>
            </w:r>
            <w:r>
              <w:rPr>
                <w:rFonts w:ascii="Arial" w:hAnsi="Arial" w:cs="Arial"/>
                <w:sz w:val="22"/>
                <w:szCs w:val="22"/>
              </w:rPr>
              <w:t> </w:t>
            </w:r>
            <w:r w:rsidRPr="00811B38">
              <w:rPr>
                <w:rFonts w:ascii="Arial" w:hAnsi="Arial" w:cs="Arial"/>
                <w:sz w:val="22"/>
                <w:szCs w:val="22"/>
              </w:rPr>
              <w:t>rámci</w:t>
            </w:r>
            <w:r>
              <w:rPr>
                <w:rFonts w:ascii="Arial" w:hAnsi="Arial" w:cs="Arial"/>
                <w:sz w:val="22"/>
                <w:szCs w:val="22"/>
              </w:rPr>
              <w:t xml:space="preserve"> </w:t>
            </w:r>
            <w:r w:rsidRPr="00811B38">
              <w:rPr>
                <w:rFonts w:ascii="Arial" w:hAnsi="Arial" w:cs="Arial"/>
                <w:sz w:val="22"/>
                <w:szCs w:val="22"/>
              </w:rPr>
              <w:lastRenderedPageBreak/>
              <w:t>6.</w:t>
            </w:r>
            <w:r>
              <w:rPr>
                <w:rFonts w:ascii="Arial" w:hAnsi="Arial" w:cs="Arial"/>
                <w:sz w:val="22"/>
                <w:szCs w:val="22"/>
              </w:rPr>
              <w:t> </w:t>
            </w:r>
            <w:r w:rsidRPr="00811B38">
              <w:rPr>
                <w:rFonts w:ascii="Arial" w:hAnsi="Arial" w:cs="Arial"/>
                <w:sz w:val="22"/>
                <w:szCs w:val="22"/>
              </w:rPr>
              <w:t>zásadní připomínky považujeme za správné.</w:t>
            </w:r>
          </w:p>
        </w:tc>
        <w:tc>
          <w:tcPr>
            <w:tcW w:w="904" w:type="dxa"/>
            <w:tcBorders>
              <w:top w:val="single" w:sz="4" w:space="0" w:color="auto"/>
              <w:left w:val="single" w:sz="4" w:space="0" w:color="auto"/>
              <w:bottom w:val="single" w:sz="4" w:space="0" w:color="auto"/>
              <w:right w:val="single" w:sz="4" w:space="0" w:color="auto"/>
            </w:tcBorders>
          </w:tcPr>
          <w:p w14:paraId="57135452" w14:textId="280CB45B" w:rsidR="00DD16D0" w:rsidRPr="00E708CC" w:rsidRDefault="006B4F24" w:rsidP="00DD16D0">
            <w:pPr>
              <w:spacing w:before="60"/>
              <w:rPr>
                <w:rFonts w:ascii="Arial" w:hAnsi="Arial" w:cs="Arial"/>
                <w:b/>
                <w:bCs/>
                <w:sz w:val="22"/>
                <w:szCs w:val="22"/>
              </w:rPr>
            </w:pPr>
            <w:r>
              <w:rPr>
                <w:rFonts w:ascii="Arial" w:hAnsi="Arial" w:cs="Arial"/>
                <w:b/>
                <w:bCs/>
                <w:sz w:val="22"/>
                <w:szCs w:val="22"/>
              </w:rPr>
              <w:lastRenderedPageBreak/>
              <w:t>N</w:t>
            </w:r>
          </w:p>
        </w:tc>
        <w:tc>
          <w:tcPr>
            <w:tcW w:w="4575" w:type="dxa"/>
            <w:tcBorders>
              <w:top w:val="single" w:sz="4" w:space="0" w:color="auto"/>
              <w:left w:val="single" w:sz="4" w:space="0" w:color="auto"/>
              <w:bottom w:val="single" w:sz="4" w:space="0" w:color="auto"/>
              <w:right w:val="single" w:sz="4" w:space="0" w:color="auto"/>
            </w:tcBorders>
          </w:tcPr>
          <w:p w14:paraId="1B96B1D2" w14:textId="63A69E99" w:rsidR="00DD16D0" w:rsidRPr="00C3123C" w:rsidRDefault="00E522C7" w:rsidP="00DD16D0">
            <w:pPr>
              <w:spacing w:before="60"/>
              <w:jc w:val="both"/>
              <w:rPr>
                <w:rFonts w:ascii="Arial" w:hAnsi="Arial" w:cs="Arial"/>
                <w:sz w:val="22"/>
                <w:szCs w:val="22"/>
              </w:rPr>
            </w:pPr>
            <w:r>
              <w:rPr>
                <w:rFonts w:ascii="Arial" w:hAnsi="Arial" w:cs="Arial"/>
                <w:sz w:val="22"/>
                <w:szCs w:val="22"/>
              </w:rPr>
              <w:t>Fragmentace panelů by vedla k</w:t>
            </w:r>
            <w:r w:rsidR="00811B38">
              <w:rPr>
                <w:rFonts w:ascii="Arial" w:hAnsi="Arial" w:cs="Arial"/>
                <w:sz w:val="22"/>
                <w:szCs w:val="22"/>
              </w:rPr>
              <w:t xml:space="preserve"> očekávané </w:t>
            </w:r>
            <w:r>
              <w:rPr>
                <w:rFonts w:ascii="Arial" w:hAnsi="Arial" w:cs="Arial"/>
                <w:sz w:val="22"/>
                <w:szCs w:val="22"/>
              </w:rPr>
              <w:t>výtce, že panely</w:t>
            </w:r>
            <w:r w:rsidR="00061543">
              <w:rPr>
                <w:rFonts w:ascii="Arial" w:hAnsi="Arial" w:cs="Arial"/>
                <w:sz w:val="22"/>
                <w:szCs w:val="22"/>
              </w:rPr>
              <w:t xml:space="preserve"> v rámci jedné oblasti</w:t>
            </w:r>
            <w:r>
              <w:rPr>
                <w:rFonts w:ascii="Arial" w:hAnsi="Arial" w:cs="Arial"/>
                <w:sz w:val="22"/>
                <w:szCs w:val="22"/>
              </w:rPr>
              <w:t xml:space="preserve"> nehodnotí na stejné úrovni</w:t>
            </w:r>
            <w:r w:rsidR="00061543">
              <w:rPr>
                <w:rFonts w:ascii="Arial" w:hAnsi="Arial" w:cs="Arial"/>
                <w:sz w:val="22"/>
                <w:szCs w:val="22"/>
              </w:rPr>
              <w:t xml:space="preserve">. V oblasti </w:t>
            </w:r>
            <w:proofErr w:type="spellStart"/>
            <w:r w:rsidR="00061543" w:rsidRPr="00061543">
              <w:rPr>
                <w:rFonts w:ascii="Arial" w:hAnsi="Arial" w:cs="Arial"/>
                <w:sz w:val="22"/>
                <w:szCs w:val="22"/>
              </w:rPr>
              <w:t>Health</w:t>
            </w:r>
            <w:proofErr w:type="spellEnd"/>
            <w:r w:rsidR="00061543" w:rsidRPr="00061543">
              <w:rPr>
                <w:rFonts w:ascii="Arial" w:hAnsi="Arial" w:cs="Arial"/>
                <w:sz w:val="22"/>
                <w:szCs w:val="22"/>
              </w:rPr>
              <w:t xml:space="preserve"> and Food</w:t>
            </w:r>
            <w:r w:rsidR="00061543">
              <w:rPr>
                <w:rFonts w:ascii="Arial" w:hAnsi="Arial" w:cs="Arial"/>
                <w:sz w:val="22"/>
                <w:szCs w:val="22"/>
              </w:rPr>
              <w:t xml:space="preserve"> bylo v minulém hodnocení hodnoceno 11</w:t>
            </w:r>
            <w:r w:rsidR="00811B38">
              <w:rPr>
                <w:rFonts w:ascii="Arial" w:hAnsi="Arial" w:cs="Arial"/>
                <w:sz w:val="22"/>
                <w:szCs w:val="22"/>
              </w:rPr>
              <w:t> </w:t>
            </w:r>
            <w:r w:rsidR="00061543">
              <w:rPr>
                <w:rFonts w:ascii="Arial" w:hAnsi="Arial" w:cs="Arial"/>
                <w:sz w:val="22"/>
                <w:szCs w:val="22"/>
              </w:rPr>
              <w:t>projektů, což nelze považovat za nikterak závratný počet.</w:t>
            </w:r>
            <w:r w:rsidR="007A0803">
              <w:rPr>
                <w:rFonts w:ascii="Arial" w:hAnsi="Arial" w:cs="Arial"/>
                <w:sz w:val="22"/>
                <w:szCs w:val="22"/>
              </w:rPr>
              <w:t xml:space="preserve"> V oblasti </w:t>
            </w:r>
            <w:proofErr w:type="spellStart"/>
            <w:r w:rsidR="007A0803">
              <w:rPr>
                <w:rFonts w:ascii="Arial" w:hAnsi="Arial" w:cs="Arial"/>
                <w:sz w:val="22"/>
                <w:szCs w:val="22"/>
              </w:rPr>
              <w:t>Physical</w:t>
            </w:r>
            <w:proofErr w:type="spellEnd"/>
            <w:r w:rsidR="007A0803">
              <w:rPr>
                <w:rFonts w:ascii="Arial" w:hAnsi="Arial" w:cs="Arial"/>
                <w:sz w:val="22"/>
                <w:szCs w:val="22"/>
              </w:rPr>
              <w:t xml:space="preserve"> </w:t>
            </w:r>
            <w:proofErr w:type="spellStart"/>
            <w:r w:rsidR="007A0803">
              <w:rPr>
                <w:rFonts w:ascii="Arial" w:hAnsi="Arial" w:cs="Arial"/>
                <w:sz w:val="22"/>
                <w:szCs w:val="22"/>
              </w:rPr>
              <w:lastRenderedPageBreak/>
              <w:t>Sciences</w:t>
            </w:r>
            <w:proofErr w:type="spellEnd"/>
            <w:r w:rsidR="007A0803">
              <w:rPr>
                <w:rFonts w:ascii="Arial" w:hAnsi="Arial" w:cs="Arial"/>
                <w:sz w:val="22"/>
                <w:szCs w:val="22"/>
              </w:rPr>
              <w:t xml:space="preserve"> and </w:t>
            </w:r>
            <w:proofErr w:type="spellStart"/>
            <w:r w:rsidR="007A0803">
              <w:rPr>
                <w:rFonts w:ascii="Arial" w:hAnsi="Arial" w:cs="Arial"/>
                <w:sz w:val="22"/>
                <w:szCs w:val="22"/>
              </w:rPr>
              <w:t>Engineering</w:t>
            </w:r>
            <w:proofErr w:type="spellEnd"/>
            <w:r w:rsidR="007A0803">
              <w:rPr>
                <w:rFonts w:ascii="Arial" w:hAnsi="Arial" w:cs="Arial"/>
                <w:sz w:val="22"/>
                <w:szCs w:val="22"/>
              </w:rPr>
              <w:t xml:space="preserve"> šlo o 23 projektů, což je kompenzováno větším počtem členů panelu.</w:t>
            </w:r>
            <w:r w:rsidR="00811B38">
              <w:rPr>
                <w:rFonts w:ascii="Arial" w:hAnsi="Arial" w:cs="Arial"/>
                <w:sz w:val="22"/>
                <w:szCs w:val="22"/>
              </w:rPr>
              <w:t xml:space="preserve"> K doplněné odborného záběru </w:t>
            </w:r>
            <w:proofErr w:type="spellStart"/>
            <w:r w:rsidR="00811B38">
              <w:rPr>
                <w:rFonts w:ascii="Arial" w:hAnsi="Arial" w:cs="Arial"/>
                <w:sz w:val="22"/>
                <w:szCs w:val="22"/>
              </w:rPr>
              <w:t>panelistů</w:t>
            </w:r>
            <w:proofErr w:type="spellEnd"/>
            <w:r w:rsidR="00811B38">
              <w:rPr>
                <w:rFonts w:ascii="Arial" w:hAnsi="Arial" w:cs="Arial"/>
                <w:sz w:val="22"/>
                <w:szCs w:val="22"/>
              </w:rPr>
              <w:t xml:space="preserve"> slouží posudky oponentů.</w:t>
            </w:r>
          </w:p>
        </w:tc>
      </w:tr>
      <w:tr w:rsidR="00DD16D0" w:rsidRPr="00C3123C" w14:paraId="78C855CB" w14:textId="77777777" w:rsidTr="009652C9">
        <w:tc>
          <w:tcPr>
            <w:tcW w:w="1069" w:type="dxa"/>
            <w:tcBorders>
              <w:top w:val="single" w:sz="4" w:space="0" w:color="auto"/>
              <w:left w:val="single" w:sz="4" w:space="0" w:color="auto"/>
              <w:bottom w:val="single" w:sz="4" w:space="0" w:color="auto"/>
              <w:right w:val="single" w:sz="4" w:space="0" w:color="auto"/>
            </w:tcBorders>
          </w:tcPr>
          <w:p w14:paraId="4B56D3EE" w14:textId="5D1746C7" w:rsidR="00DD16D0" w:rsidRDefault="00811B38" w:rsidP="00204329">
            <w:pPr>
              <w:spacing w:before="60"/>
              <w:ind w:left="142"/>
              <w:jc w:val="center"/>
              <w:rPr>
                <w:rFonts w:ascii="Arial" w:hAnsi="Arial" w:cs="Arial"/>
                <w:sz w:val="22"/>
                <w:szCs w:val="22"/>
              </w:rPr>
            </w:pPr>
            <w:r>
              <w:rPr>
                <w:rFonts w:ascii="Arial" w:hAnsi="Arial" w:cs="Arial"/>
                <w:sz w:val="22"/>
                <w:szCs w:val="22"/>
              </w:rPr>
              <w:lastRenderedPageBreak/>
              <w:t>7</w:t>
            </w:r>
          </w:p>
        </w:tc>
        <w:tc>
          <w:tcPr>
            <w:tcW w:w="4151" w:type="dxa"/>
            <w:tcBorders>
              <w:top w:val="single" w:sz="4" w:space="0" w:color="auto"/>
              <w:left w:val="single" w:sz="4" w:space="0" w:color="auto"/>
              <w:bottom w:val="single" w:sz="4" w:space="0" w:color="auto"/>
              <w:right w:val="single" w:sz="4" w:space="0" w:color="auto"/>
            </w:tcBorders>
          </w:tcPr>
          <w:p w14:paraId="75A7478D" w14:textId="77777777" w:rsidR="00811B38" w:rsidRDefault="00811B38" w:rsidP="00811B38">
            <w:pPr>
              <w:spacing w:before="60"/>
              <w:ind w:left="63" w:hanging="13"/>
              <w:jc w:val="both"/>
              <w:rPr>
                <w:rFonts w:ascii="Arial" w:hAnsi="Arial" w:cs="Arial"/>
                <w:sz w:val="22"/>
                <w:szCs w:val="22"/>
              </w:rPr>
            </w:pPr>
            <w:r w:rsidRPr="00BB3E33">
              <w:rPr>
                <w:rFonts w:ascii="Arial" w:hAnsi="Arial" w:cs="Arial"/>
                <w:b/>
                <w:bCs/>
                <w:sz w:val="22"/>
                <w:szCs w:val="22"/>
                <w:u w:val="single"/>
              </w:rPr>
              <w:t>Doporučující připomínka:</w:t>
            </w:r>
          </w:p>
          <w:p w14:paraId="5D0D2095" w14:textId="3017E248" w:rsidR="00DD16D0" w:rsidRDefault="00DD16D0" w:rsidP="00DD16D0">
            <w:pPr>
              <w:spacing w:before="60"/>
              <w:ind w:left="63" w:hanging="13"/>
              <w:jc w:val="both"/>
              <w:rPr>
                <w:rFonts w:ascii="Arial" w:hAnsi="Arial" w:cs="Arial"/>
                <w:color w:val="7030A0"/>
                <w:sz w:val="22"/>
                <w:szCs w:val="22"/>
              </w:rPr>
            </w:pPr>
            <w:r w:rsidRPr="00FD7271">
              <w:rPr>
                <w:rFonts w:ascii="Arial" w:hAnsi="Arial" w:cs="Arial"/>
                <w:color w:val="000000" w:themeColor="text1"/>
                <w:sz w:val="22"/>
                <w:szCs w:val="22"/>
              </w:rPr>
              <w:t>Posudky oponentů by měly být</w:t>
            </w:r>
            <w:r w:rsidR="00FD7271">
              <w:rPr>
                <w:rFonts w:ascii="Arial" w:hAnsi="Arial" w:cs="Arial"/>
                <w:color w:val="000000" w:themeColor="text1"/>
                <w:sz w:val="22"/>
                <w:szCs w:val="22"/>
              </w:rPr>
              <w:t xml:space="preserve"> všem</w:t>
            </w:r>
            <w:r w:rsidRPr="00FD7271">
              <w:rPr>
                <w:rFonts w:ascii="Arial" w:hAnsi="Arial" w:cs="Arial"/>
                <w:color w:val="000000" w:themeColor="text1"/>
                <w:sz w:val="22"/>
                <w:szCs w:val="22"/>
              </w:rPr>
              <w:t xml:space="preserve"> dostupné řešitelům</w:t>
            </w:r>
          </w:p>
        </w:tc>
        <w:tc>
          <w:tcPr>
            <w:tcW w:w="4496" w:type="dxa"/>
            <w:tcBorders>
              <w:top w:val="single" w:sz="4" w:space="0" w:color="auto"/>
              <w:left w:val="single" w:sz="4" w:space="0" w:color="auto"/>
              <w:bottom w:val="single" w:sz="4" w:space="0" w:color="auto"/>
              <w:right w:val="single" w:sz="4" w:space="0" w:color="auto"/>
            </w:tcBorders>
          </w:tcPr>
          <w:p w14:paraId="5BA7ED23" w14:textId="330E0E3A" w:rsidR="00DD16D0" w:rsidRDefault="00811B38" w:rsidP="00811B38">
            <w:pPr>
              <w:pStyle w:val="Default"/>
              <w:jc w:val="both"/>
              <w:rPr>
                <w:rFonts w:ascii="Arial" w:hAnsi="Arial" w:cs="Arial"/>
                <w:sz w:val="22"/>
                <w:szCs w:val="22"/>
              </w:rPr>
            </w:pPr>
            <w:r w:rsidRPr="00811B38">
              <w:rPr>
                <w:rFonts w:ascii="Arial" w:hAnsi="Arial" w:cs="Arial"/>
                <w:sz w:val="22"/>
                <w:szCs w:val="22"/>
              </w:rPr>
              <w:t>Je to evropský standard, snahy nepožadovat posudky nebo je držet v</w:t>
            </w:r>
            <w:r>
              <w:rPr>
                <w:rFonts w:ascii="Arial" w:hAnsi="Arial" w:cs="Arial"/>
                <w:sz w:val="22"/>
                <w:szCs w:val="22"/>
              </w:rPr>
              <w:t> </w:t>
            </w:r>
            <w:r w:rsidRPr="00811B38">
              <w:rPr>
                <w:rFonts w:ascii="Arial" w:hAnsi="Arial" w:cs="Arial"/>
                <w:sz w:val="22"/>
                <w:szCs w:val="22"/>
              </w:rPr>
              <w:t>utajení, jsou</w:t>
            </w:r>
            <w:r>
              <w:rPr>
                <w:rFonts w:ascii="Arial" w:hAnsi="Arial" w:cs="Arial"/>
                <w:sz w:val="22"/>
                <w:szCs w:val="22"/>
              </w:rPr>
              <w:t xml:space="preserve"> </w:t>
            </w:r>
            <w:r w:rsidRPr="00811B38">
              <w:rPr>
                <w:rFonts w:ascii="Arial" w:hAnsi="Arial" w:cs="Arial"/>
                <w:sz w:val="22"/>
                <w:szCs w:val="22"/>
              </w:rPr>
              <w:t>v rámci rozsáhlejších dlouhodobých projektů neakceptovatelné – viz problémy s</w:t>
            </w:r>
            <w:r>
              <w:rPr>
                <w:rFonts w:ascii="Arial" w:hAnsi="Arial" w:cs="Arial"/>
                <w:sz w:val="22"/>
                <w:szCs w:val="22"/>
              </w:rPr>
              <w:t> </w:t>
            </w:r>
            <w:r w:rsidRPr="00811B38">
              <w:rPr>
                <w:rFonts w:ascii="Arial" w:hAnsi="Arial" w:cs="Arial"/>
                <w:sz w:val="22"/>
                <w:szCs w:val="22"/>
              </w:rPr>
              <w:t>OP</w:t>
            </w:r>
            <w:r>
              <w:rPr>
                <w:rFonts w:ascii="Arial" w:hAnsi="Arial" w:cs="Arial"/>
                <w:sz w:val="22"/>
                <w:szCs w:val="22"/>
              </w:rPr>
              <w:t xml:space="preserve"> </w:t>
            </w:r>
            <w:r w:rsidRPr="00811B38">
              <w:rPr>
                <w:rFonts w:ascii="Arial" w:hAnsi="Arial" w:cs="Arial"/>
                <w:sz w:val="22"/>
                <w:szCs w:val="22"/>
              </w:rPr>
              <w:t>JAK Špičkový výzkum.</w:t>
            </w:r>
          </w:p>
        </w:tc>
        <w:tc>
          <w:tcPr>
            <w:tcW w:w="904" w:type="dxa"/>
            <w:tcBorders>
              <w:top w:val="single" w:sz="4" w:space="0" w:color="auto"/>
              <w:left w:val="single" w:sz="4" w:space="0" w:color="auto"/>
              <w:bottom w:val="single" w:sz="4" w:space="0" w:color="auto"/>
              <w:right w:val="single" w:sz="4" w:space="0" w:color="auto"/>
            </w:tcBorders>
          </w:tcPr>
          <w:p w14:paraId="54413EF7" w14:textId="34B17081" w:rsidR="00DD16D0" w:rsidRPr="00E708CC" w:rsidRDefault="006B4F24" w:rsidP="00DD16D0">
            <w:pPr>
              <w:spacing w:before="60"/>
              <w:rPr>
                <w:rFonts w:ascii="Arial" w:hAnsi="Arial" w:cs="Arial"/>
                <w:b/>
                <w:bCs/>
                <w:sz w:val="22"/>
                <w:szCs w:val="22"/>
              </w:rPr>
            </w:pPr>
            <w:r>
              <w:rPr>
                <w:rFonts w:ascii="Arial" w:hAnsi="Arial" w:cs="Arial"/>
                <w:b/>
                <w:bCs/>
                <w:sz w:val="22"/>
                <w:szCs w:val="22"/>
              </w:rPr>
              <w:t>N</w:t>
            </w:r>
          </w:p>
        </w:tc>
        <w:tc>
          <w:tcPr>
            <w:tcW w:w="4575" w:type="dxa"/>
            <w:tcBorders>
              <w:top w:val="single" w:sz="4" w:space="0" w:color="auto"/>
              <w:left w:val="single" w:sz="4" w:space="0" w:color="auto"/>
              <w:bottom w:val="single" w:sz="4" w:space="0" w:color="auto"/>
              <w:right w:val="single" w:sz="4" w:space="0" w:color="auto"/>
            </w:tcBorders>
          </w:tcPr>
          <w:p w14:paraId="66196F1B" w14:textId="40BE75AA" w:rsidR="00DD16D0" w:rsidRPr="00C3123C" w:rsidRDefault="007A0803" w:rsidP="00DD16D0">
            <w:pPr>
              <w:spacing w:before="60"/>
              <w:jc w:val="both"/>
              <w:rPr>
                <w:rFonts w:ascii="Arial" w:hAnsi="Arial" w:cs="Arial"/>
                <w:sz w:val="22"/>
                <w:szCs w:val="22"/>
              </w:rPr>
            </w:pPr>
            <w:r>
              <w:rPr>
                <w:rFonts w:ascii="Arial" w:hAnsi="Arial" w:cs="Arial"/>
                <w:sz w:val="22"/>
                <w:szCs w:val="22"/>
              </w:rPr>
              <w:t>Posudky oponentů jsou nástrojem sloužícím členům hodnotícího panelu a</w:t>
            </w:r>
            <w:r w:rsidR="00811B38">
              <w:rPr>
                <w:rFonts w:ascii="Arial" w:hAnsi="Arial" w:cs="Arial"/>
                <w:sz w:val="22"/>
                <w:szCs w:val="22"/>
              </w:rPr>
              <w:t xml:space="preserve"> pouze</w:t>
            </w:r>
            <w:r>
              <w:rPr>
                <w:rFonts w:ascii="Arial" w:hAnsi="Arial" w:cs="Arial"/>
                <w:sz w:val="22"/>
                <w:szCs w:val="22"/>
              </w:rPr>
              <w:t xml:space="preserve"> jedním</w:t>
            </w:r>
            <w:r w:rsidR="00811B38">
              <w:rPr>
                <w:rFonts w:ascii="Arial" w:hAnsi="Arial" w:cs="Arial"/>
                <w:sz w:val="22"/>
                <w:szCs w:val="22"/>
              </w:rPr>
              <w:t xml:space="preserve"> dílčím z</w:t>
            </w:r>
            <w:r>
              <w:rPr>
                <w:rFonts w:ascii="Arial" w:hAnsi="Arial" w:cs="Arial"/>
                <w:sz w:val="22"/>
                <w:szCs w:val="22"/>
              </w:rPr>
              <w:t>droj</w:t>
            </w:r>
            <w:r w:rsidR="00811B38">
              <w:rPr>
                <w:rFonts w:ascii="Arial" w:hAnsi="Arial" w:cs="Arial"/>
                <w:sz w:val="22"/>
                <w:szCs w:val="22"/>
              </w:rPr>
              <w:t>em</w:t>
            </w:r>
            <w:r>
              <w:rPr>
                <w:rFonts w:ascii="Arial" w:hAnsi="Arial" w:cs="Arial"/>
                <w:sz w:val="22"/>
                <w:szCs w:val="22"/>
              </w:rPr>
              <w:t xml:space="preserve"> informací. Sami o sobě nevypovídají o hodnocení projektu nic</w:t>
            </w:r>
            <w:r w:rsidR="00753165">
              <w:rPr>
                <w:rFonts w:ascii="Arial" w:hAnsi="Arial" w:cs="Arial"/>
                <w:sz w:val="22"/>
                <w:szCs w:val="22"/>
              </w:rPr>
              <w:t>, resp. ze samotného posudku není možné dovozovat výsledek komplexního hodnocení. Ten je materializován v </w:t>
            </w:r>
            <w:proofErr w:type="spellStart"/>
            <w:r w:rsidR="00753165">
              <w:rPr>
                <w:rFonts w:ascii="Arial" w:hAnsi="Arial" w:cs="Arial"/>
                <w:sz w:val="22"/>
                <w:szCs w:val="22"/>
              </w:rPr>
              <w:t>Consen</w:t>
            </w:r>
            <w:r w:rsidR="00AD12A2">
              <w:rPr>
                <w:rFonts w:ascii="Arial" w:hAnsi="Arial" w:cs="Arial"/>
                <w:sz w:val="22"/>
                <w:szCs w:val="22"/>
              </w:rPr>
              <w:t>s</w:t>
            </w:r>
            <w:r w:rsidR="00753165">
              <w:rPr>
                <w:rFonts w:ascii="Arial" w:hAnsi="Arial" w:cs="Arial"/>
                <w:sz w:val="22"/>
                <w:szCs w:val="22"/>
              </w:rPr>
              <w:t>us</w:t>
            </w:r>
            <w:proofErr w:type="spellEnd"/>
            <w:r w:rsidR="00753165">
              <w:rPr>
                <w:rFonts w:ascii="Arial" w:hAnsi="Arial" w:cs="Arial"/>
                <w:sz w:val="22"/>
                <w:szCs w:val="22"/>
              </w:rPr>
              <w:t xml:space="preserve"> Reportu, jakožto jediném výstupu hodnocení, za který je plně zodpovědný hodnotící panel.</w:t>
            </w:r>
            <w:r w:rsidR="00811B38">
              <w:rPr>
                <w:rFonts w:ascii="Arial" w:hAnsi="Arial" w:cs="Arial"/>
                <w:sz w:val="22"/>
                <w:szCs w:val="22"/>
              </w:rPr>
              <w:t xml:space="preserve"> </w:t>
            </w:r>
            <w:proofErr w:type="spellStart"/>
            <w:r w:rsidR="00811B38">
              <w:rPr>
                <w:rFonts w:ascii="Arial" w:hAnsi="Arial" w:cs="Arial"/>
                <w:sz w:val="22"/>
                <w:szCs w:val="22"/>
              </w:rPr>
              <w:t>Consensus</w:t>
            </w:r>
            <w:proofErr w:type="spellEnd"/>
            <w:r w:rsidR="00811B38">
              <w:rPr>
                <w:rFonts w:ascii="Arial" w:hAnsi="Arial" w:cs="Arial"/>
                <w:sz w:val="22"/>
                <w:szCs w:val="22"/>
              </w:rPr>
              <w:t xml:space="preserve"> Report má podobu formativního hodnocení, tj. obsahuje i případná doporučení předkladatelům projektu, co je možné v návrhu vylepšit. Nejedná se </w:t>
            </w:r>
            <w:r w:rsidR="006B4F24">
              <w:rPr>
                <w:rFonts w:ascii="Arial" w:hAnsi="Arial" w:cs="Arial"/>
                <w:sz w:val="22"/>
                <w:szCs w:val="22"/>
              </w:rPr>
              <w:t xml:space="preserve">však </w:t>
            </w:r>
            <w:r w:rsidR="00811B38">
              <w:rPr>
                <w:rFonts w:ascii="Arial" w:hAnsi="Arial" w:cs="Arial"/>
                <w:sz w:val="22"/>
                <w:szCs w:val="22"/>
              </w:rPr>
              <w:t>o rozhodnutí</w:t>
            </w:r>
            <w:r w:rsidR="006B4F24">
              <w:rPr>
                <w:rFonts w:ascii="Arial" w:hAnsi="Arial" w:cs="Arial"/>
                <w:sz w:val="22"/>
                <w:szCs w:val="22"/>
              </w:rPr>
              <w:t xml:space="preserve"> o poskytnutí podpory, </w:t>
            </w:r>
            <w:r w:rsidR="00126DCB">
              <w:rPr>
                <w:rFonts w:ascii="Arial" w:hAnsi="Arial" w:cs="Arial"/>
                <w:sz w:val="22"/>
                <w:szCs w:val="22"/>
              </w:rPr>
              <w:t>to v konečné instanci náleží vládě ČR</w:t>
            </w:r>
            <w:r w:rsidR="00AB1033">
              <w:rPr>
                <w:rFonts w:ascii="Arial" w:hAnsi="Arial" w:cs="Arial"/>
                <w:sz w:val="22"/>
                <w:szCs w:val="22"/>
              </w:rPr>
              <w:t xml:space="preserve">, kdy podkladem pro tvorbu tohoto rozhodnutí je právě a jen </w:t>
            </w:r>
            <w:proofErr w:type="spellStart"/>
            <w:r w:rsidR="00AB1033">
              <w:rPr>
                <w:rFonts w:ascii="Arial" w:hAnsi="Arial" w:cs="Arial"/>
                <w:sz w:val="22"/>
                <w:szCs w:val="22"/>
              </w:rPr>
              <w:t>Consensus</w:t>
            </w:r>
            <w:proofErr w:type="spellEnd"/>
            <w:r w:rsidR="00AB1033">
              <w:rPr>
                <w:rFonts w:ascii="Arial" w:hAnsi="Arial" w:cs="Arial"/>
                <w:sz w:val="22"/>
                <w:szCs w:val="22"/>
              </w:rPr>
              <w:t xml:space="preserve"> Report</w:t>
            </w:r>
            <w:r w:rsidR="00811B38">
              <w:rPr>
                <w:rFonts w:ascii="Arial" w:hAnsi="Arial" w:cs="Arial"/>
                <w:sz w:val="22"/>
                <w:szCs w:val="22"/>
              </w:rPr>
              <w:t xml:space="preserve">. </w:t>
            </w:r>
          </w:p>
        </w:tc>
      </w:tr>
      <w:tr w:rsidR="00DD16D0" w:rsidRPr="00C3123C" w14:paraId="150A923D" w14:textId="77777777" w:rsidTr="009652C9">
        <w:tc>
          <w:tcPr>
            <w:tcW w:w="1069" w:type="dxa"/>
            <w:tcBorders>
              <w:top w:val="single" w:sz="4" w:space="0" w:color="auto"/>
              <w:left w:val="single" w:sz="4" w:space="0" w:color="auto"/>
              <w:bottom w:val="single" w:sz="4" w:space="0" w:color="auto"/>
              <w:right w:val="single" w:sz="4" w:space="0" w:color="auto"/>
            </w:tcBorders>
          </w:tcPr>
          <w:p w14:paraId="68CE43E8" w14:textId="11CF1BAD" w:rsidR="00DD16D0" w:rsidRDefault="0015413C" w:rsidP="00204329">
            <w:pPr>
              <w:spacing w:before="60"/>
              <w:ind w:left="142"/>
              <w:jc w:val="center"/>
              <w:rPr>
                <w:rFonts w:ascii="Arial" w:hAnsi="Arial" w:cs="Arial"/>
                <w:sz w:val="22"/>
                <w:szCs w:val="22"/>
              </w:rPr>
            </w:pPr>
            <w:r>
              <w:rPr>
                <w:rFonts w:ascii="Arial" w:hAnsi="Arial" w:cs="Arial"/>
                <w:sz w:val="22"/>
                <w:szCs w:val="22"/>
              </w:rPr>
              <w:t>8</w:t>
            </w:r>
          </w:p>
        </w:tc>
        <w:tc>
          <w:tcPr>
            <w:tcW w:w="4151" w:type="dxa"/>
            <w:tcBorders>
              <w:top w:val="single" w:sz="4" w:space="0" w:color="auto"/>
              <w:left w:val="single" w:sz="4" w:space="0" w:color="auto"/>
              <w:bottom w:val="single" w:sz="4" w:space="0" w:color="auto"/>
              <w:right w:val="single" w:sz="4" w:space="0" w:color="auto"/>
            </w:tcBorders>
          </w:tcPr>
          <w:p w14:paraId="12BB1516" w14:textId="77777777" w:rsidR="0015413C" w:rsidRDefault="0015413C" w:rsidP="0015413C">
            <w:pPr>
              <w:spacing w:before="60"/>
              <w:ind w:left="63" w:hanging="13"/>
              <w:jc w:val="both"/>
              <w:rPr>
                <w:rFonts w:ascii="Arial" w:hAnsi="Arial" w:cs="Arial"/>
                <w:sz w:val="22"/>
                <w:szCs w:val="22"/>
              </w:rPr>
            </w:pPr>
            <w:r w:rsidRPr="00BB3E33">
              <w:rPr>
                <w:rFonts w:ascii="Arial" w:hAnsi="Arial" w:cs="Arial"/>
                <w:b/>
                <w:bCs/>
                <w:sz w:val="22"/>
                <w:szCs w:val="22"/>
                <w:u w:val="single"/>
              </w:rPr>
              <w:t>Doporučující připomínka:</w:t>
            </w:r>
          </w:p>
          <w:p w14:paraId="4C101304" w14:textId="64926C16" w:rsidR="00DD16D0" w:rsidRDefault="0015413C" w:rsidP="0015413C">
            <w:pPr>
              <w:spacing w:before="60"/>
              <w:ind w:left="63" w:hanging="13"/>
              <w:jc w:val="both"/>
              <w:rPr>
                <w:rFonts w:ascii="Arial" w:hAnsi="Arial" w:cs="Arial"/>
                <w:color w:val="7030A0"/>
                <w:sz w:val="22"/>
                <w:szCs w:val="22"/>
              </w:rPr>
            </w:pPr>
            <w:r w:rsidRPr="0015413C">
              <w:rPr>
                <w:rFonts w:ascii="Arial" w:hAnsi="Arial" w:cs="Arial"/>
                <w:color w:val="000000" w:themeColor="text1"/>
                <w:sz w:val="22"/>
                <w:szCs w:val="22"/>
              </w:rPr>
              <w:t>Posuzování „starých“ a „nových“ infrastruktur stejným mechanismem vede k</w:t>
            </w:r>
            <w:r>
              <w:rPr>
                <w:rFonts w:ascii="Arial" w:hAnsi="Arial" w:cs="Arial"/>
                <w:color w:val="000000" w:themeColor="text1"/>
                <w:sz w:val="22"/>
                <w:szCs w:val="22"/>
              </w:rPr>
              <w:t> </w:t>
            </w:r>
            <w:r w:rsidRPr="0015413C">
              <w:rPr>
                <w:rFonts w:ascii="Arial" w:hAnsi="Arial" w:cs="Arial"/>
                <w:color w:val="000000" w:themeColor="text1"/>
                <w:sz w:val="22"/>
                <w:szCs w:val="22"/>
              </w:rPr>
              <w:t>nerovným</w:t>
            </w:r>
            <w:r>
              <w:rPr>
                <w:rFonts w:ascii="Arial" w:hAnsi="Arial" w:cs="Arial"/>
                <w:color w:val="000000" w:themeColor="text1"/>
                <w:sz w:val="22"/>
                <w:szCs w:val="22"/>
              </w:rPr>
              <w:t xml:space="preserve"> </w:t>
            </w:r>
            <w:r w:rsidRPr="0015413C">
              <w:rPr>
                <w:rFonts w:ascii="Arial" w:hAnsi="Arial" w:cs="Arial"/>
                <w:color w:val="000000" w:themeColor="text1"/>
                <w:sz w:val="22"/>
                <w:szCs w:val="22"/>
              </w:rPr>
              <w:t>podmínkám celkového hodnocení. Pro nové infrastruktury by měl být vymezen určitý</w:t>
            </w:r>
            <w:r>
              <w:rPr>
                <w:rFonts w:ascii="Arial" w:hAnsi="Arial" w:cs="Arial"/>
                <w:color w:val="000000" w:themeColor="text1"/>
                <w:sz w:val="22"/>
                <w:szCs w:val="22"/>
              </w:rPr>
              <w:t xml:space="preserve"> </w:t>
            </w:r>
            <w:r w:rsidRPr="0015413C">
              <w:rPr>
                <w:rFonts w:ascii="Arial" w:hAnsi="Arial" w:cs="Arial"/>
                <w:color w:val="000000" w:themeColor="text1"/>
                <w:sz w:val="22"/>
                <w:szCs w:val="22"/>
              </w:rPr>
              <w:t>prostor, část starých VVI by měla přejít na samofinancování.</w:t>
            </w:r>
          </w:p>
        </w:tc>
        <w:tc>
          <w:tcPr>
            <w:tcW w:w="4496" w:type="dxa"/>
            <w:tcBorders>
              <w:top w:val="single" w:sz="4" w:space="0" w:color="auto"/>
              <w:left w:val="single" w:sz="4" w:space="0" w:color="auto"/>
              <w:bottom w:val="single" w:sz="4" w:space="0" w:color="auto"/>
              <w:right w:val="single" w:sz="4" w:space="0" w:color="auto"/>
            </w:tcBorders>
          </w:tcPr>
          <w:p w14:paraId="1FB66456" w14:textId="37F0482E" w:rsidR="00DD16D0" w:rsidRDefault="0015413C" w:rsidP="0015413C">
            <w:pPr>
              <w:pStyle w:val="Default"/>
              <w:jc w:val="both"/>
              <w:rPr>
                <w:rFonts w:ascii="Arial" w:hAnsi="Arial" w:cs="Arial"/>
                <w:sz w:val="22"/>
                <w:szCs w:val="22"/>
              </w:rPr>
            </w:pPr>
            <w:r w:rsidRPr="0015413C">
              <w:rPr>
                <w:rFonts w:ascii="Arial" w:hAnsi="Arial" w:cs="Arial"/>
                <w:sz w:val="22"/>
                <w:szCs w:val="22"/>
              </w:rPr>
              <w:t>Při hodnocení „starých“ a „nových“ infrastruktur by měla být zohledňována rozdílnost</w:t>
            </w:r>
            <w:r>
              <w:rPr>
                <w:rFonts w:ascii="Arial" w:hAnsi="Arial" w:cs="Arial"/>
                <w:sz w:val="22"/>
                <w:szCs w:val="22"/>
              </w:rPr>
              <w:t xml:space="preserve"> </w:t>
            </w:r>
            <w:r w:rsidRPr="0015413C">
              <w:rPr>
                <w:rFonts w:ascii="Arial" w:hAnsi="Arial" w:cs="Arial"/>
                <w:sz w:val="22"/>
                <w:szCs w:val="22"/>
              </w:rPr>
              <w:t>podmínek („staré“ infrastruktury jsou financovány po mnoho let, „nové“ jsou prostě</w:t>
            </w:r>
            <w:r>
              <w:rPr>
                <w:rFonts w:ascii="Arial" w:hAnsi="Arial" w:cs="Arial"/>
                <w:sz w:val="22"/>
                <w:szCs w:val="22"/>
              </w:rPr>
              <w:t xml:space="preserve"> </w:t>
            </w:r>
            <w:r w:rsidRPr="0015413C">
              <w:rPr>
                <w:rFonts w:ascii="Arial" w:hAnsi="Arial" w:cs="Arial"/>
                <w:sz w:val="22"/>
                <w:szCs w:val="22"/>
              </w:rPr>
              <w:t>nové). Pro nové infrastruktury by měla být alokována minimální část rozpočtu předem,</w:t>
            </w:r>
            <w:r>
              <w:rPr>
                <w:rFonts w:ascii="Arial" w:hAnsi="Arial" w:cs="Arial"/>
                <w:sz w:val="22"/>
                <w:szCs w:val="22"/>
              </w:rPr>
              <w:t xml:space="preserve"> </w:t>
            </w:r>
            <w:r w:rsidRPr="0015413C">
              <w:rPr>
                <w:rFonts w:ascii="Arial" w:hAnsi="Arial" w:cs="Arial"/>
                <w:sz w:val="22"/>
                <w:szCs w:val="22"/>
              </w:rPr>
              <w:t>jinak bude opět celý prostor VVI nadále zmrazen a deformován. Část „starých“ VVI by</w:t>
            </w:r>
            <w:r>
              <w:rPr>
                <w:rFonts w:ascii="Arial" w:hAnsi="Arial" w:cs="Arial"/>
                <w:sz w:val="22"/>
                <w:szCs w:val="22"/>
              </w:rPr>
              <w:t xml:space="preserve"> </w:t>
            </w:r>
            <w:r w:rsidRPr="0015413C">
              <w:rPr>
                <w:rFonts w:ascii="Arial" w:hAnsi="Arial" w:cs="Arial"/>
                <w:sz w:val="22"/>
                <w:szCs w:val="22"/>
              </w:rPr>
              <w:t>měla být už převedena do režimu samofinancování – viz původní záměr VVI.</w:t>
            </w:r>
          </w:p>
        </w:tc>
        <w:tc>
          <w:tcPr>
            <w:tcW w:w="904" w:type="dxa"/>
            <w:tcBorders>
              <w:top w:val="single" w:sz="4" w:space="0" w:color="auto"/>
              <w:left w:val="single" w:sz="4" w:space="0" w:color="auto"/>
              <w:bottom w:val="single" w:sz="4" w:space="0" w:color="auto"/>
              <w:right w:val="single" w:sz="4" w:space="0" w:color="auto"/>
            </w:tcBorders>
          </w:tcPr>
          <w:p w14:paraId="3333EF97" w14:textId="57B2348B" w:rsidR="00DD16D0" w:rsidRPr="00E708CC" w:rsidRDefault="00126DCB" w:rsidP="00DD16D0">
            <w:pPr>
              <w:spacing w:before="60"/>
              <w:rPr>
                <w:rFonts w:ascii="Arial" w:hAnsi="Arial" w:cs="Arial"/>
                <w:b/>
                <w:bCs/>
                <w:sz w:val="22"/>
                <w:szCs w:val="22"/>
              </w:rPr>
            </w:pPr>
            <w:r>
              <w:rPr>
                <w:rFonts w:ascii="Arial" w:hAnsi="Arial" w:cs="Arial"/>
                <w:b/>
                <w:bCs/>
                <w:sz w:val="22"/>
                <w:szCs w:val="22"/>
              </w:rPr>
              <w:t>Č</w:t>
            </w:r>
          </w:p>
        </w:tc>
        <w:tc>
          <w:tcPr>
            <w:tcW w:w="4575" w:type="dxa"/>
            <w:tcBorders>
              <w:top w:val="single" w:sz="4" w:space="0" w:color="auto"/>
              <w:left w:val="single" w:sz="4" w:space="0" w:color="auto"/>
              <w:bottom w:val="single" w:sz="4" w:space="0" w:color="auto"/>
              <w:right w:val="single" w:sz="4" w:space="0" w:color="auto"/>
            </w:tcBorders>
          </w:tcPr>
          <w:p w14:paraId="30CDCBD5" w14:textId="6FCF7988" w:rsidR="00533FCA" w:rsidRDefault="00AD12A2" w:rsidP="00DD16D0">
            <w:pPr>
              <w:spacing w:before="60"/>
              <w:jc w:val="both"/>
              <w:rPr>
                <w:rFonts w:ascii="Arial" w:hAnsi="Arial" w:cs="Arial"/>
                <w:sz w:val="22"/>
                <w:szCs w:val="22"/>
              </w:rPr>
            </w:pPr>
            <w:r>
              <w:rPr>
                <w:rFonts w:ascii="Arial" w:hAnsi="Arial" w:cs="Arial"/>
                <w:sz w:val="22"/>
                <w:szCs w:val="22"/>
              </w:rPr>
              <w:t>Nástroj velkých výzkumných infrastruktur slouží ke zpřístupňování jedinečné výzkumné kapacity celé vědecké obci, kdy rozhodujícím má být kvalita návrhu výzkumného projektu</w:t>
            </w:r>
            <w:r w:rsidR="0015413C">
              <w:rPr>
                <w:rFonts w:ascii="Arial" w:hAnsi="Arial" w:cs="Arial"/>
                <w:sz w:val="22"/>
                <w:szCs w:val="22"/>
              </w:rPr>
              <w:t xml:space="preserve"> uživatele</w:t>
            </w:r>
            <w:r>
              <w:rPr>
                <w:rFonts w:ascii="Arial" w:hAnsi="Arial" w:cs="Arial"/>
                <w:sz w:val="22"/>
                <w:szCs w:val="22"/>
              </w:rPr>
              <w:t xml:space="preserve"> neomezovaná finančními možnostmi domácího pracoviště daného výzkumníka. </w:t>
            </w:r>
            <w:r w:rsidR="0015413C">
              <w:rPr>
                <w:rFonts w:ascii="Arial" w:hAnsi="Arial" w:cs="Arial"/>
                <w:sz w:val="22"/>
                <w:szCs w:val="22"/>
              </w:rPr>
              <w:t>Tento nástroj z</w:t>
            </w:r>
            <w:r>
              <w:rPr>
                <w:rFonts w:ascii="Arial" w:hAnsi="Arial" w:cs="Arial"/>
                <w:sz w:val="22"/>
                <w:szCs w:val="22"/>
              </w:rPr>
              <w:t>ároveň slouží k defragmentaci zdrojů financování provozu těchto výzkumných kapacit</w:t>
            </w:r>
            <w:r w:rsidR="0015413C">
              <w:rPr>
                <w:rFonts w:ascii="Arial" w:hAnsi="Arial" w:cs="Arial"/>
                <w:sz w:val="22"/>
                <w:szCs w:val="22"/>
              </w:rPr>
              <w:t>, zcela v souladu s programovým prohlášením vlády („o</w:t>
            </w:r>
            <w:r w:rsidR="0015413C" w:rsidRPr="0015413C">
              <w:rPr>
                <w:rFonts w:ascii="Arial" w:hAnsi="Arial" w:cs="Arial"/>
                <w:sz w:val="22"/>
                <w:szCs w:val="22"/>
              </w:rPr>
              <w:t>dstraníme fragmentaci systému financování</w:t>
            </w:r>
            <w:r w:rsidR="0015413C">
              <w:rPr>
                <w:rFonts w:ascii="Arial" w:hAnsi="Arial" w:cs="Arial"/>
                <w:sz w:val="22"/>
                <w:szCs w:val="22"/>
              </w:rPr>
              <w:t>“)</w:t>
            </w:r>
            <w:r w:rsidR="00126DCB">
              <w:rPr>
                <w:rFonts w:ascii="Arial" w:hAnsi="Arial" w:cs="Arial"/>
                <w:sz w:val="22"/>
                <w:szCs w:val="22"/>
              </w:rPr>
              <w:t>.</w:t>
            </w:r>
            <w:r>
              <w:rPr>
                <w:rFonts w:ascii="Arial" w:hAnsi="Arial" w:cs="Arial"/>
                <w:sz w:val="22"/>
                <w:szCs w:val="22"/>
              </w:rPr>
              <w:t xml:space="preserve"> Přechod na samofinancování by byl zcela proti této </w:t>
            </w:r>
            <w:r w:rsidR="0015413C">
              <w:rPr>
                <w:rFonts w:ascii="Arial" w:hAnsi="Arial" w:cs="Arial"/>
                <w:sz w:val="22"/>
                <w:szCs w:val="22"/>
              </w:rPr>
              <w:t>logice</w:t>
            </w:r>
            <w:r>
              <w:rPr>
                <w:rFonts w:ascii="Arial" w:hAnsi="Arial" w:cs="Arial"/>
                <w:sz w:val="22"/>
                <w:szCs w:val="22"/>
              </w:rPr>
              <w:t xml:space="preserve">. Došlo by </w:t>
            </w:r>
            <w:r>
              <w:rPr>
                <w:rFonts w:ascii="Arial" w:hAnsi="Arial" w:cs="Arial"/>
                <w:sz w:val="22"/>
                <w:szCs w:val="22"/>
              </w:rPr>
              <w:lastRenderedPageBreak/>
              <w:t xml:space="preserve">k opětnému roztříštění zdrojů, jež jsou na </w:t>
            </w:r>
            <w:proofErr w:type="spellStart"/>
            <w:r>
              <w:rPr>
                <w:rFonts w:ascii="Arial" w:hAnsi="Arial" w:cs="Arial"/>
                <w:sz w:val="22"/>
                <w:szCs w:val="22"/>
              </w:rPr>
              <w:t>mnoze</w:t>
            </w:r>
            <w:proofErr w:type="spellEnd"/>
            <w:r>
              <w:rPr>
                <w:rFonts w:ascii="Arial" w:hAnsi="Arial" w:cs="Arial"/>
                <w:sz w:val="22"/>
                <w:szCs w:val="22"/>
              </w:rPr>
              <w:t xml:space="preserve"> stejně veřejného původu – granty, institucionální </w:t>
            </w:r>
            <w:r w:rsidR="0015413C">
              <w:rPr>
                <w:rFonts w:ascii="Arial" w:hAnsi="Arial" w:cs="Arial"/>
                <w:sz w:val="22"/>
                <w:szCs w:val="22"/>
              </w:rPr>
              <w:t>prostředky</w:t>
            </w:r>
            <w:r>
              <w:rPr>
                <w:rFonts w:ascii="Arial" w:hAnsi="Arial" w:cs="Arial"/>
                <w:sz w:val="22"/>
                <w:szCs w:val="22"/>
              </w:rPr>
              <w:t xml:space="preserve"> apod.,</w:t>
            </w:r>
            <w:r w:rsidR="00533FCA">
              <w:rPr>
                <w:rFonts w:ascii="Arial" w:hAnsi="Arial" w:cs="Arial"/>
                <w:sz w:val="22"/>
                <w:szCs w:val="22"/>
              </w:rPr>
              <w:t xml:space="preserve"> a ztratila by se </w:t>
            </w:r>
            <w:proofErr w:type="spellStart"/>
            <w:r w:rsidR="00533FCA">
              <w:rPr>
                <w:rFonts w:ascii="Arial" w:hAnsi="Arial" w:cs="Arial"/>
                <w:sz w:val="22"/>
                <w:szCs w:val="22"/>
              </w:rPr>
              <w:t>incentiva</w:t>
            </w:r>
            <w:proofErr w:type="spellEnd"/>
            <w:r w:rsidR="00533FCA">
              <w:rPr>
                <w:rFonts w:ascii="Arial" w:hAnsi="Arial" w:cs="Arial"/>
                <w:sz w:val="22"/>
                <w:szCs w:val="22"/>
              </w:rPr>
              <w:t xml:space="preserve"> k otevřenému přístupu, tj. provozovatel by na infrastrukturu pouštěl jen toho, kdo by si to dokázal zaplatit bez ohledu na kvalitu výzkumu.</w:t>
            </w:r>
            <w:r w:rsidR="00126DCB">
              <w:rPr>
                <w:rFonts w:ascii="Arial" w:hAnsi="Arial" w:cs="Arial"/>
                <w:sz w:val="22"/>
                <w:szCs w:val="22"/>
              </w:rPr>
              <w:t xml:space="preserve"> </w:t>
            </w:r>
            <w:r w:rsidR="00533FCA">
              <w:rPr>
                <w:rFonts w:ascii="Arial" w:hAnsi="Arial" w:cs="Arial"/>
                <w:sz w:val="22"/>
                <w:szCs w:val="22"/>
              </w:rPr>
              <w:t xml:space="preserve">Velké výzkumné infrastruktury nejsou </w:t>
            </w:r>
            <w:proofErr w:type="spellStart"/>
            <w:r w:rsidR="00533FCA">
              <w:rPr>
                <w:rFonts w:ascii="Arial" w:hAnsi="Arial" w:cs="Arial"/>
                <w:sz w:val="22"/>
                <w:szCs w:val="22"/>
              </w:rPr>
              <w:t>seed</w:t>
            </w:r>
            <w:proofErr w:type="spellEnd"/>
            <w:r w:rsidR="00533FCA">
              <w:rPr>
                <w:rFonts w:ascii="Arial" w:hAnsi="Arial" w:cs="Arial"/>
                <w:sz w:val="22"/>
                <w:szCs w:val="22"/>
              </w:rPr>
              <w:t xml:space="preserve"> </w:t>
            </w:r>
            <w:proofErr w:type="spellStart"/>
            <w:r w:rsidR="00533FCA">
              <w:rPr>
                <w:rFonts w:ascii="Arial" w:hAnsi="Arial" w:cs="Arial"/>
                <w:sz w:val="22"/>
                <w:szCs w:val="22"/>
              </w:rPr>
              <w:t>money</w:t>
            </w:r>
            <w:proofErr w:type="spellEnd"/>
            <w:r w:rsidR="00533FCA">
              <w:rPr>
                <w:rFonts w:ascii="Arial" w:hAnsi="Arial" w:cs="Arial"/>
                <w:sz w:val="22"/>
                <w:szCs w:val="22"/>
              </w:rPr>
              <w:t xml:space="preserve"> pro rozběh samofinancujících se společností (k tomu slouží jiné finanční nástroje), ale spíše úhrada za služby poskytované v režimu otevřeného přístupu široké vědecké komunitě.</w:t>
            </w:r>
          </w:p>
          <w:p w14:paraId="529A6614" w14:textId="77777777" w:rsidR="00533FCA" w:rsidRDefault="00533FCA" w:rsidP="00DD16D0">
            <w:pPr>
              <w:spacing w:before="60"/>
              <w:jc w:val="both"/>
              <w:rPr>
                <w:rFonts w:ascii="Arial" w:hAnsi="Arial" w:cs="Arial"/>
                <w:sz w:val="22"/>
                <w:szCs w:val="22"/>
              </w:rPr>
            </w:pPr>
          </w:p>
          <w:p w14:paraId="6A7B3E1B" w14:textId="06049B23" w:rsidR="00533FCA" w:rsidRPr="00C3123C" w:rsidRDefault="00533FCA" w:rsidP="00DD16D0">
            <w:pPr>
              <w:spacing w:before="60"/>
              <w:jc w:val="both"/>
              <w:rPr>
                <w:rFonts w:ascii="Arial" w:hAnsi="Arial" w:cs="Arial"/>
                <w:sz w:val="22"/>
                <w:szCs w:val="22"/>
              </w:rPr>
            </w:pPr>
            <w:r>
              <w:rPr>
                <w:rFonts w:ascii="Arial" w:hAnsi="Arial" w:cs="Arial"/>
                <w:sz w:val="22"/>
                <w:szCs w:val="22"/>
              </w:rPr>
              <w:t xml:space="preserve">Lze souhlasit s tím, aby pro nové VVI byla alokovaná část rozpočtu, o kterou budou moci soutěžit, ale nemá to být na úkor stávajících VVI, pokud nebude rozhodnuto, že již nemají být provozovány v režimu otevřeného přístupu (ať již proto, že o jejich služby není zájem a neplní svůj účel, nebo proto, že nejsou dostatečně kvalitní, nebo proto, že mají dostatek „komerčních“ uživatelů – ve smyslu samoplátců se kterými si vystačí </w:t>
            </w:r>
            <w:r w:rsidR="00A504E5">
              <w:rPr>
                <w:rFonts w:ascii="Arial" w:hAnsi="Arial" w:cs="Arial"/>
                <w:sz w:val="22"/>
                <w:szCs w:val="22"/>
              </w:rPr>
              <w:t>–</w:t>
            </w:r>
            <w:r>
              <w:rPr>
                <w:rFonts w:ascii="Arial" w:hAnsi="Arial" w:cs="Arial"/>
                <w:sz w:val="22"/>
                <w:szCs w:val="22"/>
              </w:rPr>
              <w:t xml:space="preserve"> </w:t>
            </w:r>
            <w:r w:rsidR="00A504E5">
              <w:rPr>
                <w:rFonts w:ascii="Arial" w:hAnsi="Arial" w:cs="Arial"/>
                <w:sz w:val="22"/>
                <w:szCs w:val="22"/>
              </w:rPr>
              <w:t>takoví odcházejí sami, ale pak přestávají být přístupní široké výzkumné komunitě).</w:t>
            </w:r>
            <w:r w:rsidR="00126DCB">
              <w:rPr>
                <w:rFonts w:ascii="Arial" w:hAnsi="Arial" w:cs="Arial"/>
                <w:sz w:val="22"/>
                <w:szCs w:val="22"/>
              </w:rPr>
              <w:t xml:space="preserve"> Uvedené rozhodnutí však není záležitostí metodiky hodnocení, ale jde o součást strategie, kterou bude muset vláda k návrhům VVI a jejich zhodnocení sama zaujmout.</w:t>
            </w:r>
          </w:p>
        </w:tc>
      </w:tr>
      <w:tr w:rsidR="00204329" w:rsidRPr="00C3123C" w14:paraId="45BCE2F3" w14:textId="77777777" w:rsidTr="009652C9">
        <w:tc>
          <w:tcPr>
            <w:tcW w:w="1069" w:type="dxa"/>
            <w:tcBorders>
              <w:top w:val="single" w:sz="4" w:space="0" w:color="auto"/>
              <w:left w:val="single" w:sz="4" w:space="0" w:color="auto"/>
              <w:bottom w:val="single" w:sz="4" w:space="0" w:color="auto"/>
              <w:right w:val="single" w:sz="4" w:space="0" w:color="auto"/>
            </w:tcBorders>
          </w:tcPr>
          <w:p w14:paraId="4B645603" w14:textId="2C290B50" w:rsidR="00204329" w:rsidRDefault="0015413C" w:rsidP="00204329">
            <w:pPr>
              <w:spacing w:before="60"/>
              <w:ind w:left="142"/>
              <w:jc w:val="center"/>
              <w:rPr>
                <w:rFonts w:ascii="Arial" w:hAnsi="Arial" w:cs="Arial"/>
                <w:sz w:val="22"/>
                <w:szCs w:val="22"/>
              </w:rPr>
            </w:pPr>
            <w:r>
              <w:rPr>
                <w:rFonts w:ascii="Arial" w:hAnsi="Arial" w:cs="Arial"/>
                <w:sz w:val="22"/>
                <w:szCs w:val="22"/>
              </w:rPr>
              <w:lastRenderedPageBreak/>
              <w:t>9</w:t>
            </w:r>
          </w:p>
        </w:tc>
        <w:tc>
          <w:tcPr>
            <w:tcW w:w="4151" w:type="dxa"/>
            <w:tcBorders>
              <w:top w:val="single" w:sz="4" w:space="0" w:color="auto"/>
              <w:left w:val="single" w:sz="4" w:space="0" w:color="auto"/>
              <w:bottom w:val="single" w:sz="4" w:space="0" w:color="auto"/>
              <w:right w:val="single" w:sz="4" w:space="0" w:color="auto"/>
            </w:tcBorders>
          </w:tcPr>
          <w:p w14:paraId="645E80EA" w14:textId="77777777" w:rsidR="0015413C" w:rsidRDefault="0015413C" w:rsidP="0015413C">
            <w:pPr>
              <w:spacing w:before="60"/>
              <w:ind w:left="63" w:hanging="13"/>
              <w:jc w:val="both"/>
              <w:rPr>
                <w:rFonts w:ascii="Arial" w:hAnsi="Arial" w:cs="Arial"/>
                <w:sz w:val="22"/>
                <w:szCs w:val="22"/>
              </w:rPr>
            </w:pPr>
            <w:r w:rsidRPr="00BB3E33">
              <w:rPr>
                <w:rFonts w:ascii="Arial" w:hAnsi="Arial" w:cs="Arial"/>
                <w:b/>
                <w:bCs/>
                <w:sz w:val="22"/>
                <w:szCs w:val="22"/>
                <w:u w:val="single"/>
              </w:rPr>
              <w:t>Doporučující připomínka:</w:t>
            </w:r>
          </w:p>
          <w:p w14:paraId="79C0C24E" w14:textId="1722946D" w:rsidR="00204329" w:rsidRPr="00204329" w:rsidRDefault="00204329" w:rsidP="00204329">
            <w:pPr>
              <w:spacing w:before="60"/>
              <w:ind w:left="63" w:hanging="13"/>
              <w:jc w:val="both"/>
              <w:rPr>
                <w:rFonts w:ascii="Arial" w:hAnsi="Arial" w:cs="Arial"/>
                <w:color w:val="000000" w:themeColor="text1"/>
                <w:sz w:val="22"/>
                <w:szCs w:val="22"/>
              </w:rPr>
            </w:pPr>
            <w:r w:rsidRPr="00204329">
              <w:rPr>
                <w:rFonts w:ascii="Arial" w:hAnsi="Arial" w:cs="Arial"/>
                <w:color w:val="000000" w:themeColor="text1"/>
                <w:sz w:val="22"/>
                <w:szCs w:val="22"/>
              </w:rPr>
              <w:t>Změnit text k návrhu zkráceného financování:</w:t>
            </w:r>
          </w:p>
          <w:p w14:paraId="72EB18ED" w14:textId="3DA3D71A" w:rsidR="00204329" w:rsidRPr="0015413C" w:rsidRDefault="00204329" w:rsidP="00204329">
            <w:pPr>
              <w:spacing w:before="60"/>
              <w:ind w:left="63" w:hanging="13"/>
              <w:jc w:val="both"/>
              <w:rPr>
                <w:rFonts w:ascii="Arial" w:hAnsi="Arial" w:cs="Arial"/>
                <w:b/>
                <w:bCs/>
                <w:color w:val="000000" w:themeColor="text1"/>
                <w:sz w:val="22"/>
                <w:szCs w:val="22"/>
                <w:lang w:val="en-GB"/>
              </w:rPr>
            </w:pPr>
            <w:r w:rsidRPr="0015413C">
              <w:rPr>
                <w:color w:val="000000" w:themeColor="text1"/>
                <w:lang w:val="en-GB"/>
              </w:rPr>
              <w:lastRenderedPageBreak/>
              <w:t xml:space="preserve">Newly proposed Large Research Infrastructures will be suggested for 4 years financing. </w:t>
            </w:r>
            <w:r w:rsidRPr="0015413C">
              <w:rPr>
                <w:strike/>
                <w:color w:val="000000" w:themeColor="text1"/>
                <w:lang w:val="en-GB"/>
              </w:rPr>
              <w:t>In case of doubts the assessment committee may suggest even existing Large Research infrastructure for shorter term evaluation</w:t>
            </w:r>
            <w:r w:rsidRPr="0015413C">
              <w:rPr>
                <w:color w:val="000000" w:themeColor="text1"/>
                <w:lang w:val="en-GB"/>
              </w:rPr>
              <w:t xml:space="preserve">. </w:t>
            </w:r>
            <w:r w:rsidRPr="0015413C">
              <w:rPr>
                <w:b/>
                <w:bCs/>
                <w:color w:val="000000" w:themeColor="text1"/>
                <w:lang w:val="en-GB"/>
              </w:rPr>
              <w:t>This shortened funding period will also be proposed to existing large research infrastructures rated 3 and below</w:t>
            </w:r>
            <w:r w:rsidR="0015413C">
              <w:rPr>
                <w:b/>
                <w:bCs/>
                <w:color w:val="000000" w:themeColor="text1"/>
                <w:lang w:val="en-GB"/>
              </w:rPr>
              <w:t>.</w:t>
            </w:r>
          </w:p>
          <w:p w14:paraId="634491D2" w14:textId="40284032" w:rsidR="00204329" w:rsidRDefault="00204329" w:rsidP="00204329">
            <w:pPr>
              <w:spacing w:before="60"/>
              <w:ind w:left="63" w:hanging="13"/>
              <w:jc w:val="both"/>
              <w:rPr>
                <w:rFonts w:ascii="Arial" w:hAnsi="Arial" w:cs="Arial"/>
                <w:color w:val="7030A0"/>
                <w:sz w:val="22"/>
                <w:szCs w:val="22"/>
              </w:rPr>
            </w:pPr>
            <w:r>
              <w:rPr>
                <w:rFonts w:ascii="Arial" w:hAnsi="Arial" w:cs="Arial"/>
                <w:color w:val="0070C0"/>
                <w:sz w:val="22"/>
                <w:szCs w:val="22"/>
              </w:rPr>
              <w:t xml:space="preserve"> </w:t>
            </w:r>
            <w:r>
              <w:rPr>
                <w:rFonts w:ascii="Arial" w:hAnsi="Arial" w:cs="Arial"/>
                <w:color w:val="7030A0"/>
                <w:sz w:val="22"/>
                <w:szCs w:val="22"/>
              </w:rPr>
              <w:t xml:space="preserve"> </w:t>
            </w:r>
          </w:p>
        </w:tc>
        <w:tc>
          <w:tcPr>
            <w:tcW w:w="4496" w:type="dxa"/>
            <w:tcBorders>
              <w:top w:val="single" w:sz="4" w:space="0" w:color="auto"/>
              <w:left w:val="single" w:sz="4" w:space="0" w:color="auto"/>
              <w:bottom w:val="single" w:sz="4" w:space="0" w:color="auto"/>
              <w:right w:val="single" w:sz="4" w:space="0" w:color="auto"/>
            </w:tcBorders>
          </w:tcPr>
          <w:p w14:paraId="589B123C" w14:textId="6333A0FE" w:rsidR="00204329" w:rsidRDefault="00204329" w:rsidP="00204329">
            <w:pPr>
              <w:pStyle w:val="Default"/>
              <w:jc w:val="both"/>
              <w:rPr>
                <w:rFonts w:ascii="Arial" w:hAnsi="Arial" w:cs="Arial"/>
                <w:sz w:val="22"/>
                <w:szCs w:val="22"/>
              </w:rPr>
            </w:pPr>
            <w:r w:rsidRPr="00204329">
              <w:rPr>
                <w:rFonts w:ascii="Arial" w:hAnsi="Arial" w:cs="Arial"/>
                <w:color w:val="000000" w:themeColor="text1"/>
                <w:sz w:val="22"/>
                <w:szCs w:val="22"/>
              </w:rPr>
              <w:lastRenderedPageBreak/>
              <w:t xml:space="preserve">Pokud mají být dlouhodobě podporovány pouze infrastruktury s excelentními a velmi kvalitními výsledky, mělo by být průměrným </w:t>
            </w:r>
            <w:r w:rsidRPr="00204329">
              <w:rPr>
                <w:rFonts w:ascii="Arial" w:hAnsi="Arial" w:cs="Arial"/>
                <w:color w:val="000000" w:themeColor="text1"/>
                <w:sz w:val="22"/>
                <w:szCs w:val="22"/>
              </w:rPr>
              <w:lastRenderedPageBreak/>
              <w:t>a zejména podprůměrným infrastrukturám navrhováno financování na kratší dobu</w:t>
            </w:r>
            <w:r>
              <w:rPr>
                <w:rFonts w:ascii="Arial" w:hAnsi="Arial" w:cs="Arial"/>
                <w:color w:val="0070C0"/>
                <w:sz w:val="22"/>
                <w:szCs w:val="22"/>
              </w:rPr>
              <w:t xml:space="preserve">. </w:t>
            </w:r>
          </w:p>
        </w:tc>
        <w:tc>
          <w:tcPr>
            <w:tcW w:w="904" w:type="dxa"/>
            <w:tcBorders>
              <w:top w:val="single" w:sz="4" w:space="0" w:color="auto"/>
              <w:left w:val="single" w:sz="4" w:space="0" w:color="auto"/>
              <w:bottom w:val="single" w:sz="4" w:space="0" w:color="auto"/>
              <w:right w:val="single" w:sz="4" w:space="0" w:color="auto"/>
            </w:tcBorders>
          </w:tcPr>
          <w:p w14:paraId="501765AE" w14:textId="10062F99" w:rsidR="00204329" w:rsidRPr="00E708CC" w:rsidRDefault="00126DCB" w:rsidP="00204329">
            <w:pPr>
              <w:spacing w:before="60"/>
              <w:rPr>
                <w:rFonts w:ascii="Arial" w:hAnsi="Arial" w:cs="Arial"/>
                <w:b/>
                <w:bCs/>
                <w:sz w:val="22"/>
                <w:szCs w:val="22"/>
              </w:rPr>
            </w:pPr>
            <w:r>
              <w:rPr>
                <w:rFonts w:ascii="Arial" w:hAnsi="Arial" w:cs="Arial"/>
                <w:b/>
                <w:bCs/>
                <w:sz w:val="22"/>
                <w:szCs w:val="22"/>
              </w:rPr>
              <w:lastRenderedPageBreak/>
              <w:t>A</w:t>
            </w:r>
          </w:p>
        </w:tc>
        <w:tc>
          <w:tcPr>
            <w:tcW w:w="4575" w:type="dxa"/>
            <w:tcBorders>
              <w:top w:val="single" w:sz="4" w:space="0" w:color="auto"/>
              <w:left w:val="single" w:sz="4" w:space="0" w:color="auto"/>
              <w:bottom w:val="single" w:sz="4" w:space="0" w:color="auto"/>
              <w:right w:val="single" w:sz="4" w:space="0" w:color="auto"/>
            </w:tcBorders>
          </w:tcPr>
          <w:p w14:paraId="2CA4B4E8" w14:textId="053B59CE" w:rsidR="00204329" w:rsidRPr="00C3123C" w:rsidRDefault="00A504E5" w:rsidP="00204329">
            <w:pPr>
              <w:spacing w:before="60"/>
              <w:jc w:val="both"/>
              <w:rPr>
                <w:rFonts w:ascii="Arial" w:hAnsi="Arial" w:cs="Arial"/>
                <w:sz w:val="22"/>
                <w:szCs w:val="22"/>
              </w:rPr>
            </w:pPr>
            <w:r w:rsidRPr="00A504E5">
              <w:rPr>
                <w:rFonts w:ascii="Arial" w:hAnsi="Arial" w:cs="Arial"/>
                <w:sz w:val="22"/>
                <w:szCs w:val="22"/>
              </w:rPr>
              <w:t>Text, který je p</w:t>
            </w:r>
            <w:r>
              <w:rPr>
                <w:rFonts w:ascii="Arial" w:hAnsi="Arial" w:cs="Arial"/>
                <w:sz w:val="22"/>
                <w:szCs w:val="22"/>
              </w:rPr>
              <w:t xml:space="preserve">ožadováno změnit, mířil na situaci infrastruktur na hraně, kdy se panel rozhoduje např. mezi hodnocením 3 a 4, a kterým by chtěl dát šanci na obhájení se tím, </w:t>
            </w:r>
            <w:r>
              <w:rPr>
                <w:rFonts w:ascii="Arial" w:hAnsi="Arial" w:cs="Arial"/>
                <w:sz w:val="22"/>
                <w:szCs w:val="22"/>
              </w:rPr>
              <w:lastRenderedPageBreak/>
              <w:t xml:space="preserve">že místo vypadnutí je zařadí do té kratší periody. S ohledem na omezené množství financování nepředpokládáme, že by infrastruktury s hodnocením ostře menším než 3 mohly být financovány, nicméně původní text tuto variantu nevylučuje. Ponechává možnost doporučení zcela na hodnotící komisi. </w:t>
            </w:r>
          </w:p>
        </w:tc>
      </w:tr>
      <w:tr w:rsidR="003F18EB" w:rsidRPr="00C3123C" w14:paraId="51BC3DAA" w14:textId="77777777" w:rsidTr="00D17E93">
        <w:tc>
          <w:tcPr>
            <w:tcW w:w="1069" w:type="dxa"/>
            <w:tcBorders>
              <w:top w:val="single" w:sz="4" w:space="0" w:color="auto"/>
              <w:left w:val="single" w:sz="4" w:space="0" w:color="auto"/>
              <w:bottom w:val="single" w:sz="4" w:space="0" w:color="auto"/>
              <w:right w:val="single" w:sz="4" w:space="0" w:color="auto"/>
            </w:tcBorders>
          </w:tcPr>
          <w:p w14:paraId="1A0528B1" w14:textId="269E93F7" w:rsidR="003F18EB" w:rsidRDefault="003F18EB" w:rsidP="003F18EB">
            <w:pPr>
              <w:spacing w:before="60"/>
              <w:ind w:left="142"/>
              <w:jc w:val="center"/>
              <w:rPr>
                <w:rFonts w:ascii="Arial" w:hAnsi="Arial" w:cs="Arial"/>
                <w:sz w:val="22"/>
                <w:szCs w:val="22"/>
              </w:rPr>
            </w:pPr>
            <w:r>
              <w:rPr>
                <w:rFonts w:ascii="Arial" w:hAnsi="Arial" w:cs="Arial"/>
                <w:sz w:val="22"/>
                <w:szCs w:val="22"/>
              </w:rPr>
              <w:lastRenderedPageBreak/>
              <w:t>10</w:t>
            </w:r>
          </w:p>
        </w:tc>
        <w:tc>
          <w:tcPr>
            <w:tcW w:w="4151" w:type="dxa"/>
            <w:tcBorders>
              <w:top w:val="single" w:sz="4" w:space="0" w:color="auto"/>
              <w:left w:val="single" w:sz="4" w:space="0" w:color="auto"/>
              <w:bottom w:val="single" w:sz="4" w:space="0" w:color="auto"/>
              <w:right w:val="single" w:sz="4" w:space="0" w:color="auto"/>
            </w:tcBorders>
          </w:tcPr>
          <w:p w14:paraId="2C9F233A" w14:textId="77777777" w:rsidR="003F18EB" w:rsidRDefault="003F18EB" w:rsidP="003F18EB">
            <w:pPr>
              <w:spacing w:before="60"/>
              <w:ind w:left="63" w:hanging="13"/>
              <w:jc w:val="both"/>
              <w:rPr>
                <w:rFonts w:ascii="Arial" w:hAnsi="Arial" w:cs="Arial"/>
                <w:sz w:val="22"/>
                <w:szCs w:val="22"/>
              </w:rPr>
            </w:pPr>
            <w:r w:rsidRPr="00BB3E33">
              <w:rPr>
                <w:rFonts w:ascii="Arial" w:hAnsi="Arial" w:cs="Arial"/>
                <w:b/>
                <w:bCs/>
                <w:sz w:val="22"/>
                <w:szCs w:val="22"/>
                <w:u w:val="single"/>
              </w:rPr>
              <w:t>Doporučující připomínka:</w:t>
            </w:r>
          </w:p>
          <w:p w14:paraId="52F6BEA1" w14:textId="3FF82879" w:rsidR="003F18EB" w:rsidRPr="00BB3E33" w:rsidRDefault="003F18EB" w:rsidP="003F18EB">
            <w:pPr>
              <w:spacing w:before="60"/>
              <w:ind w:left="63" w:hanging="13"/>
              <w:jc w:val="both"/>
              <w:rPr>
                <w:rFonts w:ascii="Arial" w:hAnsi="Arial" w:cs="Arial"/>
                <w:b/>
                <w:bCs/>
                <w:sz w:val="22"/>
                <w:szCs w:val="22"/>
                <w:u w:val="single"/>
              </w:rPr>
            </w:pPr>
            <w:r w:rsidRPr="00204329">
              <w:rPr>
                <w:rFonts w:ascii="Arial" w:hAnsi="Arial" w:cs="Arial"/>
                <w:color w:val="000000" w:themeColor="text1"/>
                <w:sz w:val="22"/>
                <w:szCs w:val="22"/>
              </w:rPr>
              <w:t>Celý dokument by měl být rozdělen do dvou – Hodnocení VVI a Nová výzva s uvedením priorit pro ČR</w:t>
            </w:r>
            <w:r>
              <w:rPr>
                <w:rFonts w:ascii="Arial" w:hAnsi="Arial" w:cs="Arial"/>
                <w:color w:val="000000" w:themeColor="text1"/>
                <w:sz w:val="22"/>
                <w:szCs w:val="22"/>
              </w:rPr>
              <w:t>.</w:t>
            </w:r>
          </w:p>
        </w:tc>
        <w:tc>
          <w:tcPr>
            <w:tcW w:w="4496" w:type="dxa"/>
            <w:tcBorders>
              <w:top w:val="single" w:sz="4" w:space="0" w:color="auto"/>
              <w:left w:val="single" w:sz="4" w:space="0" w:color="auto"/>
              <w:bottom w:val="single" w:sz="4" w:space="0" w:color="auto"/>
              <w:right w:val="single" w:sz="4" w:space="0" w:color="auto"/>
            </w:tcBorders>
          </w:tcPr>
          <w:p w14:paraId="5EFC0665" w14:textId="47091C29" w:rsidR="003F18EB" w:rsidRPr="00204329" w:rsidRDefault="003F18EB" w:rsidP="003F18EB">
            <w:pPr>
              <w:pStyle w:val="Default"/>
              <w:jc w:val="both"/>
              <w:rPr>
                <w:rFonts w:ascii="Arial" w:hAnsi="Arial" w:cs="Arial"/>
                <w:color w:val="000000" w:themeColor="text1"/>
                <w:sz w:val="22"/>
                <w:szCs w:val="22"/>
              </w:rPr>
            </w:pPr>
            <w:r>
              <w:rPr>
                <w:rFonts w:ascii="Arial" w:hAnsi="Arial" w:cs="Arial"/>
                <w:sz w:val="22"/>
                <w:szCs w:val="22"/>
              </w:rPr>
              <w:t xml:space="preserve">Propojení obou materiálů do jednoho s nadpisem Hodnocení je neadekvátní pro tak rozsáhlé financování. V Nové výzvě by měl být stanoven způsob zohlednění aktuálních potřeb ČR (např. </w:t>
            </w:r>
            <w:proofErr w:type="spellStart"/>
            <w:r>
              <w:rPr>
                <w:rFonts w:ascii="Arial" w:hAnsi="Arial" w:cs="Arial"/>
                <w:sz w:val="22"/>
                <w:szCs w:val="22"/>
              </w:rPr>
              <w:t>prioritizovat</w:t>
            </w:r>
            <w:proofErr w:type="spellEnd"/>
            <w:r>
              <w:rPr>
                <w:rFonts w:ascii="Arial" w:hAnsi="Arial" w:cs="Arial"/>
                <w:sz w:val="22"/>
                <w:szCs w:val="22"/>
              </w:rPr>
              <w:t xml:space="preserve"> témata NPOV tak, jak bylo slibováno, nebo např. </w:t>
            </w:r>
            <w:proofErr w:type="spellStart"/>
            <w:r>
              <w:rPr>
                <w:rFonts w:ascii="Arial" w:hAnsi="Arial" w:cs="Arial"/>
                <w:sz w:val="22"/>
                <w:szCs w:val="22"/>
              </w:rPr>
              <w:t>prioritizovat</w:t>
            </w:r>
            <w:proofErr w:type="spellEnd"/>
            <w:r>
              <w:rPr>
                <w:rFonts w:ascii="Arial" w:hAnsi="Arial" w:cs="Arial"/>
                <w:sz w:val="22"/>
                <w:szCs w:val="22"/>
              </w:rPr>
              <w:t xml:space="preserve"> nové národní strategie apod.). </w:t>
            </w:r>
          </w:p>
        </w:tc>
        <w:tc>
          <w:tcPr>
            <w:tcW w:w="904" w:type="dxa"/>
            <w:tcBorders>
              <w:top w:val="single" w:sz="4" w:space="0" w:color="auto"/>
              <w:left w:val="single" w:sz="4" w:space="0" w:color="auto"/>
              <w:bottom w:val="single" w:sz="4" w:space="0" w:color="auto"/>
              <w:right w:val="single" w:sz="4" w:space="0" w:color="auto"/>
            </w:tcBorders>
          </w:tcPr>
          <w:p w14:paraId="058E3DB7" w14:textId="5FF64C95" w:rsidR="003F18EB" w:rsidRPr="00E708CC" w:rsidRDefault="00126DCB" w:rsidP="003F18EB">
            <w:pPr>
              <w:spacing w:before="60"/>
              <w:rPr>
                <w:rFonts w:ascii="Arial" w:hAnsi="Arial" w:cs="Arial"/>
                <w:b/>
                <w:bCs/>
                <w:sz w:val="22"/>
                <w:szCs w:val="22"/>
              </w:rPr>
            </w:pPr>
            <w:r>
              <w:rPr>
                <w:rFonts w:ascii="Arial" w:hAnsi="Arial" w:cs="Arial"/>
                <w:b/>
                <w:bCs/>
                <w:sz w:val="22"/>
                <w:szCs w:val="22"/>
              </w:rPr>
              <w:t>N</w:t>
            </w:r>
          </w:p>
        </w:tc>
        <w:tc>
          <w:tcPr>
            <w:tcW w:w="4575" w:type="dxa"/>
            <w:tcBorders>
              <w:top w:val="single" w:sz="4" w:space="0" w:color="auto"/>
              <w:left w:val="single" w:sz="4" w:space="0" w:color="auto"/>
              <w:bottom w:val="single" w:sz="4" w:space="0" w:color="auto"/>
              <w:right w:val="single" w:sz="4" w:space="0" w:color="auto"/>
            </w:tcBorders>
          </w:tcPr>
          <w:p w14:paraId="438A3839" w14:textId="3B773DC9" w:rsidR="003F18EB" w:rsidRDefault="003F18EB" w:rsidP="003F18EB">
            <w:pPr>
              <w:spacing w:before="60"/>
              <w:jc w:val="both"/>
              <w:rPr>
                <w:rFonts w:ascii="Arial" w:hAnsi="Arial" w:cs="Arial"/>
                <w:sz w:val="22"/>
                <w:szCs w:val="22"/>
              </w:rPr>
            </w:pPr>
            <w:r>
              <w:rPr>
                <w:rFonts w:ascii="Arial" w:hAnsi="Arial" w:cs="Arial"/>
                <w:sz w:val="22"/>
                <w:szCs w:val="22"/>
              </w:rPr>
              <w:t>Financování VVI svým rozsahem výrazně nevybočuje z jiných finančních nástrojů (programy TAČR, GAČR apod.). Spojení hodnocení stávajících i případných nových návrhů VVI umožňuje obojí hodnotit na stejné kvalitativní úrovni, přičemž hodnotící komise bere do úvahy, že v případě nově navrhovaných VVI nelze očekávat výsledky a přínosy na úrovni stávajících, neboť jsou prostě nové a ještě neměly možnost se předvést. Nová témata mohou být pokryta jak rozšířením výzkumných kapacit (nabízených služeb) ze strany stávajících VVI, tak vznikem nových. Rozdělení hodnocení by jednu skupinu znevýhodňovalo. Navíc by při rozdělení hodnocení bylo nutné stanovit pro ty nové nějakou alokaci, aby se hodnocení mohlo vůbec uskutečnit a vzniklo by tak dvojkolejné financování (některé VVI by byly hrazeny ze „starých“ prostředků, některé z „nových“ a s přibývajícími obdobími by byly ještě jiné hrazeny z ještě „novějších“ prostředků).</w:t>
            </w:r>
          </w:p>
          <w:p w14:paraId="289BA8B1" w14:textId="77777777" w:rsidR="003F18EB" w:rsidRDefault="003F18EB" w:rsidP="003F18EB">
            <w:pPr>
              <w:spacing w:before="60"/>
              <w:jc w:val="both"/>
              <w:rPr>
                <w:rFonts w:ascii="Arial" w:hAnsi="Arial" w:cs="Arial"/>
                <w:sz w:val="22"/>
                <w:szCs w:val="22"/>
              </w:rPr>
            </w:pPr>
          </w:p>
          <w:p w14:paraId="3CE253F9" w14:textId="224A8DC5" w:rsidR="003F18EB" w:rsidRPr="00A504E5" w:rsidRDefault="003F18EB" w:rsidP="003F18EB">
            <w:pPr>
              <w:spacing w:before="60"/>
              <w:jc w:val="both"/>
              <w:rPr>
                <w:rFonts w:ascii="Arial" w:hAnsi="Arial" w:cs="Arial"/>
                <w:sz w:val="22"/>
                <w:szCs w:val="22"/>
              </w:rPr>
            </w:pPr>
            <w:r>
              <w:rPr>
                <w:rFonts w:ascii="Arial" w:hAnsi="Arial" w:cs="Arial"/>
                <w:sz w:val="22"/>
                <w:szCs w:val="22"/>
              </w:rPr>
              <w:lastRenderedPageBreak/>
              <w:t xml:space="preserve">S ohledem na to, že VVI mají v podstatě </w:t>
            </w:r>
            <w:proofErr w:type="spellStart"/>
            <w:r>
              <w:rPr>
                <w:rFonts w:ascii="Arial" w:hAnsi="Arial" w:cs="Arial"/>
                <w:sz w:val="22"/>
                <w:szCs w:val="22"/>
              </w:rPr>
              <w:t>kvaziinstitucionální</w:t>
            </w:r>
            <w:proofErr w:type="spellEnd"/>
            <w:r>
              <w:rPr>
                <w:rFonts w:ascii="Arial" w:hAnsi="Arial" w:cs="Arial"/>
                <w:sz w:val="22"/>
                <w:szCs w:val="22"/>
              </w:rPr>
              <w:t xml:space="preserve"> charakter, je očekávatelná jejich dlouhodobá stabilita, a nejedná se tak o nějaké negativní zmrazení a deformaci prostoru VVI. K vývoji má docházet, ale vývoj má být na základě potřeb a možností. Aby se mohly naplňovat nové potřeby, je nutné buď některé ze stávajících identifikovat jako již nepotřebné, nebo navýšit zdroj financování. I stávající VVI sledují nové národní strategie a mohou sloužit k novým prioritám NPOV.</w:t>
            </w:r>
          </w:p>
        </w:tc>
      </w:tr>
      <w:tr w:rsidR="003F18EB" w:rsidRPr="00C3123C" w14:paraId="7F4813B2" w14:textId="77777777" w:rsidTr="009652C9">
        <w:tc>
          <w:tcPr>
            <w:tcW w:w="1069" w:type="dxa"/>
            <w:tcBorders>
              <w:top w:val="single" w:sz="4" w:space="0" w:color="auto"/>
              <w:left w:val="single" w:sz="4" w:space="0" w:color="auto"/>
              <w:bottom w:val="single" w:sz="4" w:space="0" w:color="auto"/>
              <w:right w:val="single" w:sz="4" w:space="0" w:color="auto"/>
            </w:tcBorders>
          </w:tcPr>
          <w:p w14:paraId="69E28FF1" w14:textId="36C1B2E1" w:rsidR="003F18EB" w:rsidRDefault="003F18EB" w:rsidP="003F18EB">
            <w:pPr>
              <w:spacing w:before="60"/>
              <w:ind w:left="142"/>
              <w:jc w:val="center"/>
              <w:rPr>
                <w:rFonts w:ascii="Arial" w:hAnsi="Arial" w:cs="Arial"/>
                <w:sz w:val="22"/>
                <w:szCs w:val="22"/>
              </w:rPr>
            </w:pPr>
            <w:r>
              <w:rPr>
                <w:rFonts w:ascii="Arial" w:hAnsi="Arial" w:cs="Arial"/>
                <w:sz w:val="22"/>
                <w:szCs w:val="22"/>
              </w:rPr>
              <w:lastRenderedPageBreak/>
              <w:t>11</w:t>
            </w:r>
          </w:p>
        </w:tc>
        <w:tc>
          <w:tcPr>
            <w:tcW w:w="4151" w:type="dxa"/>
            <w:tcBorders>
              <w:top w:val="single" w:sz="4" w:space="0" w:color="auto"/>
              <w:left w:val="single" w:sz="4" w:space="0" w:color="auto"/>
              <w:bottom w:val="single" w:sz="4" w:space="0" w:color="auto"/>
              <w:right w:val="single" w:sz="4" w:space="0" w:color="auto"/>
            </w:tcBorders>
          </w:tcPr>
          <w:p w14:paraId="468A21C9" w14:textId="77777777" w:rsidR="003F18EB" w:rsidRDefault="003F18EB" w:rsidP="003F18EB">
            <w:pPr>
              <w:spacing w:before="60"/>
              <w:ind w:left="63" w:hanging="13"/>
              <w:jc w:val="both"/>
              <w:rPr>
                <w:rFonts w:ascii="Arial" w:hAnsi="Arial" w:cs="Arial"/>
                <w:sz w:val="22"/>
                <w:szCs w:val="22"/>
              </w:rPr>
            </w:pPr>
            <w:r w:rsidRPr="00BB3E33">
              <w:rPr>
                <w:rFonts w:ascii="Arial" w:hAnsi="Arial" w:cs="Arial"/>
                <w:b/>
                <w:bCs/>
                <w:sz w:val="22"/>
                <w:szCs w:val="22"/>
                <w:u w:val="single"/>
              </w:rPr>
              <w:t>Doporučující připomínka:</w:t>
            </w:r>
          </w:p>
          <w:p w14:paraId="33B8F70E" w14:textId="73011EB7" w:rsidR="003F18EB" w:rsidRDefault="003F18EB" w:rsidP="003F18EB">
            <w:pPr>
              <w:spacing w:before="60"/>
              <w:ind w:left="63" w:hanging="13"/>
              <w:jc w:val="both"/>
              <w:rPr>
                <w:rFonts w:ascii="Arial" w:hAnsi="Arial" w:cs="Arial"/>
                <w:color w:val="7030A0"/>
                <w:sz w:val="22"/>
                <w:szCs w:val="22"/>
              </w:rPr>
            </w:pPr>
            <w:r w:rsidRPr="003F18EB">
              <w:rPr>
                <w:rFonts w:ascii="Arial" w:hAnsi="Arial" w:cs="Arial"/>
                <w:color w:val="000000" w:themeColor="text1"/>
                <w:sz w:val="22"/>
                <w:szCs w:val="22"/>
              </w:rPr>
              <w:t>Rada doporučuje MŠMT zvážit účast členů Rady v sektorových platformách MŠMT.</w:t>
            </w:r>
          </w:p>
        </w:tc>
        <w:tc>
          <w:tcPr>
            <w:tcW w:w="4496" w:type="dxa"/>
            <w:tcBorders>
              <w:top w:val="single" w:sz="4" w:space="0" w:color="auto"/>
              <w:left w:val="single" w:sz="4" w:space="0" w:color="auto"/>
              <w:bottom w:val="single" w:sz="4" w:space="0" w:color="auto"/>
              <w:right w:val="single" w:sz="4" w:space="0" w:color="auto"/>
            </w:tcBorders>
          </w:tcPr>
          <w:p w14:paraId="59EA9A25" w14:textId="03CD129D" w:rsidR="003F18EB" w:rsidRDefault="003F18EB" w:rsidP="003F18EB">
            <w:pPr>
              <w:pStyle w:val="Default"/>
              <w:jc w:val="both"/>
              <w:rPr>
                <w:rFonts w:ascii="Arial" w:hAnsi="Arial" w:cs="Arial"/>
                <w:sz w:val="22"/>
                <w:szCs w:val="22"/>
              </w:rPr>
            </w:pPr>
            <w:r w:rsidRPr="003F18EB">
              <w:rPr>
                <w:rFonts w:ascii="Arial" w:hAnsi="Arial" w:cs="Arial"/>
                <w:sz w:val="22"/>
                <w:szCs w:val="22"/>
              </w:rPr>
              <w:t>Cílem je zapojit členy Rady do tohoto procesu za účelem zlepšení informovanosti členů</w:t>
            </w:r>
            <w:r>
              <w:rPr>
                <w:rFonts w:ascii="Arial" w:hAnsi="Arial" w:cs="Arial"/>
                <w:sz w:val="22"/>
                <w:szCs w:val="22"/>
              </w:rPr>
              <w:t xml:space="preserve"> </w:t>
            </w:r>
            <w:r w:rsidRPr="003F18EB">
              <w:rPr>
                <w:rFonts w:ascii="Arial" w:hAnsi="Arial" w:cs="Arial"/>
                <w:sz w:val="22"/>
                <w:szCs w:val="22"/>
              </w:rPr>
              <w:t>Rady odpovědných za tuto problematiku.</w:t>
            </w:r>
          </w:p>
        </w:tc>
        <w:tc>
          <w:tcPr>
            <w:tcW w:w="904" w:type="dxa"/>
            <w:tcBorders>
              <w:top w:val="single" w:sz="4" w:space="0" w:color="auto"/>
              <w:left w:val="single" w:sz="4" w:space="0" w:color="auto"/>
              <w:bottom w:val="single" w:sz="4" w:space="0" w:color="auto"/>
              <w:right w:val="single" w:sz="4" w:space="0" w:color="auto"/>
            </w:tcBorders>
          </w:tcPr>
          <w:p w14:paraId="182850EA" w14:textId="15316CBE" w:rsidR="003F18EB" w:rsidRPr="00E708CC" w:rsidRDefault="00D5684B" w:rsidP="003F18EB">
            <w:pPr>
              <w:spacing w:before="60"/>
              <w:rPr>
                <w:rFonts w:ascii="Arial" w:hAnsi="Arial" w:cs="Arial"/>
                <w:b/>
                <w:bCs/>
                <w:sz w:val="22"/>
                <w:szCs w:val="22"/>
              </w:rPr>
            </w:pPr>
            <w:r>
              <w:rPr>
                <w:rFonts w:ascii="Arial" w:hAnsi="Arial" w:cs="Arial"/>
                <w:b/>
                <w:bCs/>
                <w:sz w:val="22"/>
                <w:szCs w:val="22"/>
              </w:rPr>
              <w:t>A</w:t>
            </w:r>
          </w:p>
        </w:tc>
        <w:tc>
          <w:tcPr>
            <w:tcW w:w="4575" w:type="dxa"/>
            <w:tcBorders>
              <w:top w:val="single" w:sz="4" w:space="0" w:color="auto"/>
              <w:left w:val="single" w:sz="4" w:space="0" w:color="auto"/>
              <w:bottom w:val="single" w:sz="4" w:space="0" w:color="auto"/>
              <w:right w:val="single" w:sz="4" w:space="0" w:color="auto"/>
            </w:tcBorders>
          </w:tcPr>
          <w:p w14:paraId="5DB4E1D2" w14:textId="4B63AB15" w:rsidR="003F18EB" w:rsidRPr="00C3123C" w:rsidRDefault="00411E58" w:rsidP="00411E58">
            <w:pPr>
              <w:spacing w:before="60"/>
              <w:jc w:val="both"/>
              <w:rPr>
                <w:rFonts w:ascii="Arial" w:hAnsi="Arial" w:cs="Arial"/>
                <w:sz w:val="22"/>
                <w:szCs w:val="22"/>
              </w:rPr>
            </w:pPr>
            <w:r>
              <w:rPr>
                <w:rFonts w:ascii="Arial" w:hAnsi="Arial" w:cs="Arial"/>
                <w:sz w:val="22"/>
                <w:szCs w:val="22"/>
              </w:rPr>
              <w:t>MŠMT potvrzuje, že s</w:t>
            </w:r>
            <w:r w:rsidR="006C7E4F">
              <w:rPr>
                <w:rFonts w:ascii="Arial" w:hAnsi="Arial" w:cs="Arial"/>
                <w:sz w:val="22"/>
                <w:szCs w:val="22"/>
              </w:rPr>
              <w:t> účastí členů Rady pro velké výzkumné infrastruktury v sektorových platformách bylo od počátku počítáno.</w:t>
            </w:r>
          </w:p>
        </w:tc>
      </w:tr>
    </w:tbl>
    <w:p w14:paraId="4C9A4C78" w14:textId="77777777" w:rsidR="002E4135" w:rsidRDefault="002E4135" w:rsidP="002E4135">
      <w:pPr>
        <w:tabs>
          <w:tab w:val="left" w:pos="-26"/>
          <w:tab w:val="left" w:pos="900"/>
        </w:tabs>
        <w:spacing w:before="60" w:after="60"/>
        <w:jc w:val="both"/>
        <w:rPr>
          <w:rFonts w:ascii="Arial" w:hAnsi="Arial" w:cs="Arial"/>
          <w:b/>
          <w:noProof/>
          <w:sz w:val="22"/>
          <w:szCs w:val="22"/>
        </w:rPr>
      </w:pPr>
    </w:p>
    <w:p w14:paraId="35C63E83" w14:textId="77777777" w:rsidR="002E4135" w:rsidRDefault="002E4135" w:rsidP="00874BF4">
      <w:pPr>
        <w:tabs>
          <w:tab w:val="left" w:pos="-26"/>
          <w:tab w:val="left" w:pos="900"/>
        </w:tabs>
        <w:spacing w:before="60" w:after="60"/>
        <w:jc w:val="both"/>
        <w:rPr>
          <w:rFonts w:ascii="Arial" w:hAnsi="Arial" w:cs="Arial"/>
          <w:b/>
          <w:noProof/>
          <w:sz w:val="22"/>
          <w:szCs w:val="22"/>
        </w:rPr>
      </w:pPr>
    </w:p>
    <w:p w14:paraId="269E3054" w14:textId="77777777" w:rsidR="00BD2F9B" w:rsidRPr="00C3123C" w:rsidRDefault="00BD2F9B" w:rsidP="002E4135">
      <w:pPr>
        <w:spacing w:after="40"/>
        <w:jc w:val="both"/>
        <w:rPr>
          <w:rFonts w:ascii="Arial" w:hAnsi="Arial" w:cs="Arial"/>
          <w:b/>
          <w:noProof/>
          <w:sz w:val="22"/>
          <w:szCs w:val="22"/>
        </w:rPr>
      </w:pPr>
    </w:p>
    <w:sectPr w:rsidR="00BD2F9B" w:rsidRPr="00C3123C" w:rsidSect="00496EC1">
      <w:footerReference w:type="even" r:id="rId7"/>
      <w:footerReference w:type="default" r:id="rId8"/>
      <w:pgSz w:w="16838" w:h="11906" w:orient="landscape"/>
      <w:pgMar w:top="1134"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6D43B0" w14:textId="77777777" w:rsidR="003E2542" w:rsidRDefault="003E2542">
      <w:r>
        <w:separator/>
      </w:r>
    </w:p>
  </w:endnote>
  <w:endnote w:type="continuationSeparator" w:id="0">
    <w:p w14:paraId="0A8EB196" w14:textId="77777777" w:rsidR="003E2542" w:rsidRDefault="003E2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BDBEC" w14:textId="77777777" w:rsidR="008346F9" w:rsidRDefault="008346F9" w:rsidP="006C067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410CCB9" w14:textId="77777777" w:rsidR="008346F9" w:rsidRDefault="008346F9" w:rsidP="00B03C1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5E854" w14:textId="77777777" w:rsidR="008346F9" w:rsidRDefault="008346F9" w:rsidP="006C067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1D261B">
      <w:rPr>
        <w:rStyle w:val="slostrnky"/>
        <w:noProof/>
      </w:rPr>
      <w:t>2</w:t>
    </w:r>
    <w:r>
      <w:rPr>
        <w:rStyle w:val="slostrnky"/>
      </w:rPr>
      <w:fldChar w:fldCharType="end"/>
    </w:r>
  </w:p>
  <w:p w14:paraId="233EA51A" w14:textId="77777777" w:rsidR="008346F9" w:rsidRDefault="008346F9" w:rsidP="00B03C1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2BA873" w14:textId="77777777" w:rsidR="003E2542" w:rsidRDefault="003E2542">
      <w:r>
        <w:separator/>
      </w:r>
    </w:p>
  </w:footnote>
  <w:footnote w:type="continuationSeparator" w:id="0">
    <w:p w14:paraId="540F4422" w14:textId="77777777" w:rsidR="003E2542" w:rsidRDefault="003E25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386574"/>
    <w:multiLevelType w:val="hybridMultilevel"/>
    <w:tmpl w:val="7124FEA4"/>
    <w:lvl w:ilvl="0" w:tplc="A6185362">
      <w:start w:val="1"/>
      <w:numFmt w:val="upperLetter"/>
      <w:lvlText w:val="%1)"/>
      <w:lvlJc w:val="left"/>
      <w:pPr>
        <w:ind w:left="410" w:hanging="360"/>
      </w:pPr>
      <w:rPr>
        <w:rFonts w:hint="default"/>
      </w:rPr>
    </w:lvl>
    <w:lvl w:ilvl="1" w:tplc="04050019" w:tentative="1">
      <w:start w:val="1"/>
      <w:numFmt w:val="lowerLetter"/>
      <w:lvlText w:val="%2."/>
      <w:lvlJc w:val="left"/>
      <w:pPr>
        <w:ind w:left="1130" w:hanging="360"/>
      </w:pPr>
    </w:lvl>
    <w:lvl w:ilvl="2" w:tplc="0405001B" w:tentative="1">
      <w:start w:val="1"/>
      <w:numFmt w:val="lowerRoman"/>
      <w:lvlText w:val="%3."/>
      <w:lvlJc w:val="right"/>
      <w:pPr>
        <w:ind w:left="1850" w:hanging="180"/>
      </w:pPr>
    </w:lvl>
    <w:lvl w:ilvl="3" w:tplc="0405000F" w:tentative="1">
      <w:start w:val="1"/>
      <w:numFmt w:val="decimal"/>
      <w:lvlText w:val="%4."/>
      <w:lvlJc w:val="left"/>
      <w:pPr>
        <w:ind w:left="2570" w:hanging="360"/>
      </w:pPr>
    </w:lvl>
    <w:lvl w:ilvl="4" w:tplc="04050019" w:tentative="1">
      <w:start w:val="1"/>
      <w:numFmt w:val="lowerLetter"/>
      <w:lvlText w:val="%5."/>
      <w:lvlJc w:val="left"/>
      <w:pPr>
        <w:ind w:left="3290" w:hanging="360"/>
      </w:pPr>
    </w:lvl>
    <w:lvl w:ilvl="5" w:tplc="0405001B" w:tentative="1">
      <w:start w:val="1"/>
      <w:numFmt w:val="lowerRoman"/>
      <w:lvlText w:val="%6."/>
      <w:lvlJc w:val="right"/>
      <w:pPr>
        <w:ind w:left="4010" w:hanging="180"/>
      </w:pPr>
    </w:lvl>
    <w:lvl w:ilvl="6" w:tplc="0405000F" w:tentative="1">
      <w:start w:val="1"/>
      <w:numFmt w:val="decimal"/>
      <w:lvlText w:val="%7."/>
      <w:lvlJc w:val="left"/>
      <w:pPr>
        <w:ind w:left="4730" w:hanging="360"/>
      </w:pPr>
    </w:lvl>
    <w:lvl w:ilvl="7" w:tplc="04050019" w:tentative="1">
      <w:start w:val="1"/>
      <w:numFmt w:val="lowerLetter"/>
      <w:lvlText w:val="%8."/>
      <w:lvlJc w:val="left"/>
      <w:pPr>
        <w:ind w:left="5450" w:hanging="360"/>
      </w:pPr>
    </w:lvl>
    <w:lvl w:ilvl="8" w:tplc="0405001B" w:tentative="1">
      <w:start w:val="1"/>
      <w:numFmt w:val="lowerRoman"/>
      <w:lvlText w:val="%9."/>
      <w:lvlJc w:val="right"/>
      <w:pPr>
        <w:ind w:left="6170" w:hanging="180"/>
      </w:pPr>
    </w:lvl>
  </w:abstractNum>
  <w:abstractNum w:abstractNumId="1" w15:restartNumberingAfterBreak="0">
    <w:nsid w:val="521D7955"/>
    <w:multiLevelType w:val="hybridMultilevel"/>
    <w:tmpl w:val="0D8AC9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0032D6B"/>
    <w:multiLevelType w:val="hybridMultilevel"/>
    <w:tmpl w:val="0102F83C"/>
    <w:lvl w:ilvl="0" w:tplc="8F44C200">
      <w:start w:val="1"/>
      <w:numFmt w:val="decimal"/>
      <w:lvlText w:val="%1."/>
      <w:lvlJc w:val="left"/>
      <w:pPr>
        <w:ind w:left="405" w:hanging="36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num w:numId="1" w16cid:durableId="1378580180">
    <w:abstractNumId w:val="2"/>
  </w:num>
  <w:num w:numId="2" w16cid:durableId="225185004">
    <w:abstractNumId w:val="0"/>
  </w:num>
  <w:num w:numId="3" w16cid:durableId="182735525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8DF"/>
    <w:rsid w:val="000004B9"/>
    <w:rsid w:val="00002E46"/>
    <w:rsid w:val="000046C8"/>
    <w:rsid w:val="00006858"/>
    <w:rsid w:val="00006B27"/>
    <w:rsid w:val="000101E5"/>
    <w:rsid w:val="000145A4"/>
    <w:rsid w:val="0001756C"/>
    <w:rsid w:val="0001781B"/>
    <w:rsid w:val="000203A3"/>
    <w:rsid w:val="00020B0F"/>
    <w:rsid w:val="000233F4"/>
    <w:rsid w:val="00023995"/>
    <w:rsid w:val="00031292"/>
    <w:rsid w:val="000319E2"/>
    <w:rsid w:val="00031AD0"/>
    <w:rsid w:val="00032B3B"/>
    <w:rsid w:val="00032B8D"/>
    <w:rsid w:val="000333CC"/>
    <w:rsid w:val="0003666D"/>
    <w:rsid w:val="00037636"/>
    <w:rsid w:val="0004630C"/>
    <w:rsid w:val="00050280"/>
    <w:rsid w:val="000547BF"/>
    <w:rsid w:val="000559E5"/>
    <w:rsid w:val="00057D63"/>
    <w:rsid w:val="00061543"/>
    <w:rsid w:val="000628EA"/>
    <w:rsid w:val="0006354B"/>
    <w:rsid w:val="000661F9"/>
    <w:rsid w:val="00067B11"/>
    <w:rsid w:val="00074754"/>
    <w:rsid w:val="00074C4E"/>
    <w:rsid w:val="000848F7"/>
    <w:rsid w:val="00086BD5"/>
    <w:rsid w:val="00094654"/>
    <w:rsid w:val="00095155"/>
    <w:rsid w:val="000A1481"/>
    <w:rsid w:val="000A1579"/>
    <w:rsid w:val="000A5408"/>
    <w:rsid w:val="000A7270"/>
    <w:rsid w:val="000B3372"/>
    <w:rsid w:val="000B4C16"/>
    <w:rsid w:val="000B636E"/>
    <w:rsid w:val="000C4B7A"/>
    <w:rsid w:val="000C5820"/>
    <w:rsid w:val="000C6BBB"/>
    <w:rsid w:val="000C7C83"/>
    <w:rsid w:val="000C7E22"/>
    <w:rsid w:val="000D3CBF"/>
    <w:rsid w:val="000D3EA8"/>
    <w:rsid w:val="000D48D4"/>
    <w:rsid w:val="000D704D"/>
    <w:rsid w:val="000E07A0"/>
    <w:rsid w:val="000E6169"/>
    <w:rsid w:val="000E7101"/>
    <w:rsid w:val="000E75C8"/>
    <w:rsid w:val="000E7A00"/>
    <w:rsid w:val="000E7A46"/>
    <w:rsid w:val="000F0C05"/>
    <w:rsid w:val="000F3A69"/>
    <w:rsid w:val="000F6745"/>
    <w:rsid w:val="000F77EC"/>
    <w:rsid w:val="0010185A"/>
    <w:rsid w:val="00103F1D"/>
    <w:rsid w:val="00104B0F"/>
    <w:rsid w:val="00104E61"/>
    <w:rsid w:val="00104FDB"/>
    <w:rsid w:val="00105277"/>
    <w:rsid w:val="00113DDB"/>
    <w:rsid w:val="00115764"/>
    <w:rsid w:val="0011637B"/>
    <w:rsid w:val="00124ABB"/>
    <w:rsid w:val="001256A3"/>
    <w:rsid w:val="00126101"/>
    <w:rsid w:val="00126DCB"/>
    <w:rsid w:val="00130142"/>
    <w:rsid w:val="00130C74"/>
    <w:rsid w:val="00131076"/>
    <w:rsid w:val="00132A4F"/>
    <w:rsid w:val="0013336C"/>
    <w:rsid w:val="00137277"/>
    <w:rsid w:val="00137DD1"/>
    <w:rsid w:val="00143040"/>
    <w:rsid w:val="001452B2"/>
    <w:rsid w:val="0014587D"/>
    <w:rsid w:val="00146204"/>
    <w:rsid w:val="00146F77"/>
    <w:rsid w:val="00151048"/>
    <w:rsid w:val="00153905"/>
    <w:rsid w:val="0015413C"/>
    <w:rsid w:val="001545D7"/>
    <w:rsid w:val="00154839"/>
    <w:rsid w:val="0015511B"/>
    <w:rsid w:val="001600B2"/>
    <w:rsid w:val="00160AC5"/>
    <w:rsid w:val="00162BA6"/>
    <w:rsid w:val="00170C30"/>
    <w:rsid w:val="00174A57"/>
    <w:rsid w:val="00176308"/>
    <w:rsid w:val="00176EB5"/>
    <w:rsid w:val="00181FF3"/>
    <w:rsid w:val="00185D6F"/>
    <w:rsid w:val="001860C0"/>
    <w:rsid w:val="00186389"/>
    <w:rsid w:val="00192DD5"/>
    <w:rsid w:val="00193E6D"/>
    <w:rsid w:val="001960DF"/>
    <w:rsid w:val="00197896"/>
    <w:rsid w:val="001A6CA1"/>
    <w:rsid w:val="001B53F3"/>
    <w:rsid w:val="001C0298"/>
    <w:rsid w:val="001C3FD2"/>
    <w:rsid w:val="001C42CC"/>
    <w:rsid w:val="001C452A"/>
    <w:rsid w:val="001C5031"/>
    <w:rsid w:val="001C5CA4"/>
    <w:rsid w:val="001D261B"/>
    <w:rsid w:val="001D2F7B"/>
    <w:rsid w:val="001D322E"/>
    <w:rsid w:val="001D4639"/>
    <w:rsid w:val="001D661E"/>
    <w:rsid w:val="001D67CD"/>
    <w:rsid w:val="001D69BE"/>
    <w:rsid w:val="001D73B2"/>
    <w:rsid w:val="001D7A3D"/>
    <w:rsid w:val="001E1247"/>
    <w:rsid w:val="001E4AD6"/>
    <w:rsid w:val="001E5A35"/>
    <w:rsid w:val="001E7128"/>
    <w:rsid w:val="001F09FF"/>
    <w:rsid w:val="001F2348"/>
    <w:rsid w:val="001F43F6"/>
    <w:rsid w:val="001F7FF5"/>
    <w:rsid w:val="00201E15"/>
    <w:rsid w:val="00202A0C"/>
    <w:rsid w:val="00204329"/>
    <w:rsid w:val="002051FC"/>
    <w:rsid w:val="00212C13"/>
    <w:rsid w:val="002136A4"/>
    <w:rsid w:val="00214C82"/>
    <w:rsid w:val="00217B06"/>
    <w:rsid w:val="00220505"/>
    <w:rsid w:val="0022557D"/>
    <w:rsid w:val="002265FA"/>
    <w:rsid w:val="00226DA8"/>
    <w:rsid w:val="00231E77"/>
    <w:rsid w:val="00232048"/>
    <w:rsid w:val="002330C9"/>
    <w:rsid w:val="00236970"/>
    <w:rsid w:val="00241498"/>
    <w:rsid w:val="00246AB5"/>
    <w:rsid w:val="00247CBE"/>
    <w:rsid w:val="00250DB2"/>
    <w:rsid w:val="00260AD7"/>
    <w:rsid w:val="00262D6F"/>
    <w:rsid w:val="0026489C"/>
    <w:rsid w:val="0026564B"/>
    <w:rsid w:val="00274F42"/>
    <w:rsid w:val="0028070A"/>
    <w:rsid w:val="002808C0"/>
    <w:rsid w:val="00280AD3"/>
    <w:rsid w:val="00283888"/>
    <w:rsid w:val="00286CF7"/>
    <w:rsid w:val="0028704E"/>
    <w:rsid w:val="0028752A"/>
    <w:rsid w:val="00287BA0"/>
    <w:rsid w:val="0029090B"/>
    <w:rsid w:val="002909AE"/>
    <w:rsid w:val="00296687"/>
    <w:rsid w:val="0029770D"/>
    <w:rsid w:val="002A0B38"/>
    <w:rsid w:val="002A3D1D"/>
    <w:rsid w:val="002A5AE7"/>
    <w:rsid w:val="002A71B5"/>
    <w:rsid w:val="002B26CF"/>
    <w:rsid w:val="002B2A94"/>
    <w:rsid w:val="002B2C6D"/>
    <w:rsid w:val="002B5ABA"/>
    <w:rsid w:val="002B7E5D"/>
    <w:rsid w:val="002C1C70"/>
    <w:rsid w:val="002C2175"/>
    <w:rsid w:val="002C2617"/>
    <w:rsid w:val="002C31AE"/>
    <w:rsid w:val="002C3E14"/>
    <w:rsid w:val="002C655A"/>
    <w:rsid w:val="002C6867"/>
    <w:rsid w:val="002C7760"/>
    <w:rsid w:val="002D364E"/>
    <w:rsid w:val="002D522A"/>
    <w:rsid w:val="002D5CFD"/>
    <w:rsid w:val="002D6CC3"/>
    <w:rsid w:val="002E0DCB"/>
    <w:rsid w:val="002E4135"/>
    <w:rsid w:val="002E53A8"/>
    <w:rsid w:val="003076C1"/>
    <w:rsid w:val="0031443F"/>
    <w:rsid w:val="003153CB"/>
    <w:rsid w:val="003163F5"/>
    <w:rsid w:val="003175D4"/>
    <w:rsid w:val="003176D4"/>
    <w:rsid w:val="00324974"/>
    <w:rsid w:val="003322E5"/>
    <w:rsid w:val="00332B79"/>
    <w:rsid w:val="00333B82"/>
    <w:rsid w:val="00334EC4"/>
    <w:rsid w:val="00336AD1"/>
    <w:rsid w:val="0033712C"/>
    <w:rsid w:val="003401E7"/>
    <w:rsid w:val="0034286C"/>
    <w:rsid w:val="003436E9"/>
    <w:rsid w:val="00343B08"/>
    <w:rsid w:val="00343B3E"/>
    <w:rsid w:val="003448F3"/>
    <w:rsid w:val="00346C93"/>
    <w:rsid w:val="0035083C"/>
    <w:rsid w:val="00350B06"/>
    <w:rsid w:val="00350C21"/>
    <w:rsid w:val="00352DB4"/>
    <w:rsid w:val="00353995"/>
    <w:rsid w:val="0036094B"/>
    <w:rsid w:val="0036098F"/>
    <w:rsid w:val="0036177D"/>
    <w:rsid w:val="00362B5E"/>
    <w:rsid w:val="00363D56"/>
    <w:rsid w:val="00364FC6"/>
    <w:rsid w:val="003720AD"/>
    <w:rsid w:val="00373FE2"/>
    <w:rsid w:val="00374082"/>
    <w:rsid w:val="00374EF4"/>
    <w:rsid w:val="00375AAC"/>
    <w:rsid w:val="003803AB"/>
    <w:rsid w:val="00384BEE"/>
    <w:rsid w:val="0038507E"/>
    <w:rsid w:val="0038559F"/>
    <w:rsid w:val="00385664"/>
    <w:rsid w:val="00385851"/>
    <w:rsid w:val="00386BE5"/>
    <w:rsid w:val="0038790D"/>
    <w:rsid w:val="00392F3A"/>
    <w:rsid w:val="0039391A"/>
    <w:rsid w:val="00393CC3"/>
    <w:rsid w:val="00393D68"/>
    <w:rsid w:val="003A344B"/>
    <w:rsid w:val="003A3FBF"/>
    <w:rsid w:val="003A65DF"/>
    <w:rsid w:val="003A69B8"/>
    <w:rsid w:val="003B1507"/>
    <w:rsid w:val="003B2C75"/>
    <w:rsid w:val="003B3202"/>
    <w:rsid w:val="003B4ABF"/>
    <w:rsid w:val="003B5420"/>
    <w:rsid w:val="003B5E99"/>
    <w:rsid w:val="003B65C9"/>
    <w:rsid w:val="003B68F0"/>
    <w:rsid w:val="003C392B"/>
    <w:rsid w:val="003C744B"/>
    <w:rsid w:val="003D01C9"/>
    <w:rsid w:val="003D083F"/>
    <w:rsid w:val="003D165A"/>
    <w:rsid w:val="003D4A96"/>
    <w:rsid w:val="003D53DF"/>
    <w:rsid w:val="003D6017"/>
    <w:rsid w:val="003D6AC7"/>
    <w:rsid w:val="003E2542"/>
    <w:rsid w:val="003E3F42"/>
    <w:rsid w:val="003E5764"/>
    <w:rsid w:val="003E5ECB"/>
    <w:rsid w:val="003E749C"/>
    <w:rsid w:val="003E7F94"/>
    <w:rsid w:val="003F01D2"/>
    <w:rsid w:val="003F01E1"/>
    <w:rsid w:val="003F095F"/>
    <w:rsid w:val="003F14D6"/>
    <w:rsid w:val="003F18EB"/>
    <w:rsid w:val="003F4517"/>
    <w:rsid w:val="00401B7D"/>
    <w:rsid w:val="004034A9"/>
    <w:rsid w:val="0040370E"/>
    <w:rsid w:val="00403AD1"/>
    <w:rsid w:val="004041A8"/>
    <w:rsid w:val="00411E58"/>
    <w:rsid w:val="00414096"/>
    <w:rsid w:val="00422594"/>
    <w:rsid w:val="00422659"/>
    <w:rsid w:val="0042415A"/>
    <w:rsid w:val="004266E2"/>
    <w:rsid w:val="004272FB"/>
    <w:rsid w:val="004318A0"/>
    <w:rsid w:val="004352C2"/>
    <w:rsid w:val="004359C1"/>
    <w:rsid w:val="00435B46"/>
    <w:rsid w:val="00441ABB"/>
    <w:rsid w:val="0044342E"/>
    <w:rsid w:val="0044347C"/>
    <w:rsid w:val="00443889"/>
    <w:rsid w:val="00450A5F"/>
    <w:rsid w:val="00451D6F"/>
    <w:rsid w:val="004556C5"/>
    <w:rsid w:val="00456EDF"/>
    <w:rsid w:val="00460550"/>
    <w:rsid w:val="004626E9"/>
    <w:rsid w:val="00464206"/>
    <w:rsid w:val="0046496F"/>
    <w:rsid w:val="00464EC4"/>
    <w:rsid w:val="00466D77"/>
    <w:rsid w:val="0047088C"/>
    <w:rsid w:val="00473936"/>
    <w:rsid w:val="00473D02"/>
    <w:rsid w:val="00482768"/>
    <w:rsid w:val="00491D3D"/>
    <w:rsid w:val="00493A6D"/>
    <w:rsid w:val="00495F41"/>
    <w:rsid w:val="00496EC1"/>
    <w:rsid w:val="00497900"/>
    <w:rsid w:val="004A05C1"/>
    <w:rsid w:val="004A2596"/>
    <w:rsid w:val="004A2908"/>
    <w:rsid w:val="004A321C"/>
    <w:rsid w:val="004A7988"/>
    <w:rsid w:val="004B3DBC"/>
    <w:rsid w:val="004B59A2"/>
    <w:rsid w:val="004B6E2A"/>
    <w:rsid w:val="004C026D"/>
    <w:rsid w:val="004C0A8B"/>
    <w:rsid w:val="004C0C72"/>
    <w:rsid w:val="004C6A55"/>
    <w:rsid w:val="004C7EEC"/>
    <w:rsid w:val="004D0959"/>
    <w:rsid w:val="004D2332"/>
    <w:rsid w:val="004D4B5C"/>
    <w:rsid w:val="004D51E9"/>
    <w:rsid w:val="004D631E"/>
    <w:rsid w:val="004D7AD5"/>
    <w:rsid w:val="004E20E7"/>
    <w:rsid w:val="004E2E5A"/>
    <w:rsid w:val="004E3339"/>
    <w:rsid w:val="004E5E74"/>
    <w:rsid w:val="004F3C79"/>
    <w:rsid w:val="004F65EE"/>
    <w:rsid w:val="005012B9"/>
    <w:rsid w:val="00501952"/>
    <w:rsid w:val="00504096"/>
    <w:rsid w:val="005044FA"/>
    <w:rsid w:val="00506D67"/>
    <w:rsid w:val="00507B03"/>
    <w:rsid w:val="005126D7"/>
    <w:rsid w:val="00516C3B"/>
    <w:rsid w:val="00520991"/>
    <w:rsid w:val="00520FB5"/>
    <w:rsid w:val="005216F9"/>
    <w:rsid w:val="005220FE"/>
    <w:rsid w:val="00524A11"/>
    <w:rsid w:val="0052702D"/>
    <w:rsid w:val="00527725"/>
    <w:rsid w:val="00530434"/>
    <w:rsid w:val="00531E8A"/>
    <w:rsid w:val="00533FCA"/>
    <w:rsid w:val="005352EB"/>
    <w:rsid w:val="00540BCB"/>
    <w:rsid w:val="00544606"/>
    <w:rsid w:val="005509B1"/>
    <w:rsid w:val="00553BDA"/>
    <w:rsid w:val="0055616A"/>
    <w:rsid w:val="00556E86"/>
    <w:rsid w:val="00557374"/>
    <w:rsid w:val="00557868"/>
    <w:rsid w:val="0056302E"/>
    <w:rsid w:val="005637EE"/>
    <w:rsid w:val="00565700"/>
    <w:rsid w:val="0056788C"/>
    <w:rsid w:val="00567FB5"/>
    <w:rsid w:val="0057293E"/>
    <w:rsid w:val="00576E94"/>
    <w:rsid w:val="0057741D"/>
    <w:rsid w:val="00583685"/>
    <w:rsid w:val="005848DB"/>
    <w:rsid w:val="005874CC"/>
    <w:rsid w:val="005904DB"/>
    <w:rsid w:val="00590DFD"/>
    <w:rsid w:val="0059455E"/>
    <w:rsid w:val="0059588A"/>
    <w:rsid w:val="005A14CC"/>
    <w:rsid w:val="005A38E1"/>
    <w:rsid w:val="005A5364"/>
    <w:rsid w:val="005A76A6"/>
    <w:rsid w:val="005B0085"/>
    <w:rsid w:val="005B0E9F"/>
    <w:rsid w:val="005B2D62"/>
    <w:rsid w:val="005B3047"/>
    <w:rsid w:val="005B41EF"/>
    <w:rsid w:val="005B67EC"/>
    <w:rsid w:val="005B7E16"/>
    <w:rsid w:val="005C179D"/>
    <w:rsid w:val="005C3EDB"/>
    <w:rsid w:val="005C464E"/>
    <w:rsid w:val="005C4EC7"/>
    <w:rsid w:val="005D044F"/>
    <w:rsid w:val="005D26E4"/>
    <w:rsid w:val="005E0A3C"/>
    <w:rsid w:val="005E14EA"/>
    <w:rsid w:val="005E2071"/>
    <w:rsid w:val="005E2794"/>
    <w:rsid w:val="005E2BD8"/>
    <w:rsid w:val="005E2C06"/>
    <w:rsid w:val="005E7562"/>
    <w:rsid w:val="005F193C"/>
    <w:rsid w:val="005F1B53"/>
    <w:rsid w:val="005F1D89"/>
    <w:rsid w:val="005F4D44"/>
    <w:rsid w:val="005F51A1"/>
    <w:rsid w:val="005F6FBE"/>
    <w:rsid w:val="006018A4"/>
    <w:rsid w:val="006025A9"/>
    <w:rsid w:val="006026CD"/>
    <w:rsid w:val="006026EA"/>
    <w:rsid w:val="0060467F"/>
    <w:rsid w:val="006048AC"/>
    <w:rsid w:val="00604BE9"/>
    <w:rsid w:val="00607D50"/>
    <w:rsid w:val="006113CC"/>
    <w:rsid w:val="00612F1E"/>
    <w:rsid w:val="00613E59"/>
    <w:rsid w:val="00614153"/>
    <w:rsid w:val="00614A46"/>
    <w:rsid w:val="00616ADA"/>
    <w:rsid w:val="00620BDB"/>
    <w:rsid w:val="00621B47"/>
    <w:rsid w:val="00625C49"/>
    <w:rsid w:val="006278E2"/>
    <w:rsid w:val="006311CF"/>
    <w:rsid w:val="00634BFA"/>
    <w:rsid w:val="00640BC4"/>
    <w:rsid w:val="0064167A"/>
    <w:rsid w:val="006428CD"/>
    <w:rsid w:val="006460D3"/>
    <w:rsid w:val="006463B3"/>
    <w:rsid w:val="0064643B"/>
    <w:rsid w:val="006503BA"/>
    <w:rsid w:val="00650C18"/>
    <w:rsid w:val="00654193"/>
    <w:rsid w:val="006628C3"/>
    <w:rsid w:val="00662F44"/>
    <w:rsid w:val="00665043"/>
    <w:rsid w:val="0067106D"/>
    <w:rsid w:val="00675130"/>
    <w:rsid w:val="00677BA1"/>
    <w:rsid w:val="006810EA"/>
    <w:rsid w:val="006841C4"/>
    <w:rsid w:val="0068674C"/>
    <w:rsid w:val="006879B2"/>
    <w:rsid w:val="00691432"/>
    <w:rsid w:val="00691AF5"/>
    <w:rsid w:val="00691FAB"/>
    <w:rsid w:val="00694511"/>
    <w:rsid w:val="00694CBF"/>
    <w:rsid w:val="006A7257"/>
    <w:rsid w:val="006B4F24"/>
    <w:rsid w:val="006C004C"/>
    <w:rsid w:val="006C0678"/>
    <w:rsid w:val="006C136B"/>
    <w:rsid w:val="006C2231"/>
    <w:rsid w:val="006C29AC"/>
    <w:rsid w:val="006C472E"/>
    <w:rsid w:val="006C4BF1"/>
    <w:rsid w:val="006C4D1D"/>
    <w:rsid w:val="006C54E8"/>
    <w:rsid w:val="006C578E"/>
    <w:rsid w:val="006C7E4F"/>
    <w:rsid w:val="006D2695"/>
    <w:rsid w:val="006D40C7"/>
    <w:rsid w:val="006D4B8F"/>
    <w:rsid w:val="006D76B0"/>
    <w:rsid w:val="006D79B4"/>
    <w:rsid w:val="006E17D4"/>
    <w:rsid w:val="006E6E06"/>
    <w:rsid w:val="006E71F2"/>
    <w:rsid w:val="006F1C75"/>
    <w:rsid w:val="006F52F1"/>
    <w:rsid w:val="0070087B"/>
    <w:rsid w:val="007020B2"/>
    <w:rsid w:val="00702FE2"/>
    <w:rsid w:val="007032BE"/>
    <w:rsid w:val="0070444E"/>
    <w:rsid w:val="00705F4D"/>
    <w:rsid w:val="00707EA0"/>
    <w:rsid w:val="00711800"/>
    <w:rsid w:val="007129FC"/>
    <w:rsid w:val="007136EA"/>
    <w:rsid w:val="00714C24"/>
    <w:rsid w:val="00715565"/>
    <w:rsid w:val="00720ED4"/>
    <w:rsid w:val="00723338"/>
    <w:rsid w:val="00724794"/>
    <w:rsid w:val="00726984"/>
    <w:rsid w:val="00726EF2"/>
    <w:rsid w:val="00730A50"/>
    <w:rsid w:val="00730C3C"/>
    <w:rsid w:val="007312E4"/>
    <w:rsid w:val="007324EF"/>
    <w:rsid w:val="00733D3A"/>
    <w:rsid w:val="007367D2"/>
    <w:rsid w:val="00736CF3"/>
    <w:rsid w:val="00737CBE"/>
    <w:rsid w:val="007401F5"/>
    <w:rsid w:val="007456ED"/>
    <w:rsid w:val="007528B8"/>
    <w:rsid w:val="00753165"/>
    <w:rsid w:val="007541E6"/>
    <w:rsid w:val="00755BD0"/>
    <w:rsid w:val="00755C5E"/>
    <w:rsid w:val="0075608D"/>
    <w:rsid w:val="0076101B"/>
    <w:rsid w:val="00761D7F"/>
    <w:rsid w:val="00762B22"/>
    <w:rsid w:val="007671D0"/>
    <w:rsid w:val="0077507B"/>
    <w:rsid w:val="007777DD"/>
    <w:rsid w:val="0078042C"/>
    <w:rsid w:val="00780F13"/>
    <w:rsid w:val="0078112C"/>
    <w:rsid w:val="0078137F"/>
    <w:rsid w:val="00784BC1"/>
    <w:rsid w:val="0079003B"/>
    <w:rsid w:val="007901EB"/>
    <w:rsid w:val="007902F9"/>
    <w:rsid w:val="00790552"/>
    <w:rsid w:val="007922E3"/>
    <w:rsid w:val="007933EC"/>
    <w:rsid w:val="007953BE"/>
    <w:rsid w:val="007A0051"/>
    <w:rsid w:val="007A0803"/>
    <w:rsid w:val="007A6123"/>
    <w:rsid w:val="007A667F"/>
    <w:rsid w:val="007A6C2D"/>
    <w:rsid w:val="007B094D"/>
    <w:rsid w:val="007B176D"/>
    <w:rsid w:val="007B2596"/>
    <w:rsid w:val="007B2CAB"/>
    <w:rsid w:val="007B30F5"/>
    <w:rsid w:val="007B57A7"/>
    <w:rsid w:val="007B5995"/>
    <w:rsid w:val="007B7274"/>
    <w:rsid w:val="007B77ED"/>
    <w:rsid w:val="007C2261"/>
    <w:rsid w:val="007C39C0"/>
    <w:rsid w:val="007C3E1E"/>
    <w:rsid w:val="007C432F"/>
    <w:rsid w:val="007C45A6"/>
    <w:rsid w:val="007D00F3"/>
    <w:rsid w:val="007D71FD"/>
    <w:rsid w:val="007E2CB6"/>
    <w:rsid w:val="007E30E0"/>
    <w:rsid w:val="007E315F"/>
    <w:rsid w:val="007E6A7E"/>
    <w:rsid w:val="007F17C8"/>
    <w:rsid w:val="007F1978"/>
    <w:rsid w:val="007F2454"/>
    <w:rsid w:val="007F5A5B"/>
    <w:rsid w:val="007F6E5C"/>
    <w:rsid w:val="008019FA"/>
    <w:rsid w:val="0080208B"/>
    <w:rsid w:val="00802B31"/>
    <w:rsid w:val="008032DD"/>
    <w:rsid w:val="008040C9"/>
    <w:rsid w:val="00806AD1"/>
    <w:rsid w:val="00807DF7"/>
    <w:rsid w:val="00811B38"/>
    <w:rsid w:val="00811D9C"/>
    <w:rsid w:val="0081205F"/>
    <w:rsid w:val="00812F1B"/>
    <w:rsid w:val="00817B24"/>
    <w:rsid w:val="00820393"/>
    <w:rsid w:val="00820F9C"/>
    <w:rsid w:val="00821327"/>
    <w:rsid w:val="00821ADD"/>
    <w:rsid w:val="00822FFD"/>
    <w:rsid w:val="00823957"/>
    <w:rsid w:val="00823FF2"/>
    <w:rsid w:val="00824A8B"/>
    <w:rsid w:val="00830DB9"/>
    <w:rsid w:val="008346F9"/>
    <w:rsid w:val="00835FA5"/>
    <w:rsid w:val="00836542"/>
    <w:rsid w:val="0083788D"/>
    <w:rsid w:val="008430DD"/>
    <w:rsid w:val="0084364B"/>
    <w:rsid w:val="0084449E"/>
    <w:rsid w:val="00844554"/>
    <w:rsid w:val="0084479F"/>
    <w:rsid w:val="00846B1A"/>
    <w:rsid w:val="0084771C"/>
    <w:rsid w:val="00853158"/>
    <w:rsid w:val="00856E40"/>
    <w:rsid w:val="008576ED"/>
    <w:rsid w:val="00861DC7"/>
    <w:rsid w:val="00863F6E"/>
    <w:rsid w:val="00865459"/>
    <w:rsid w:val="00867371"/>
    <w:rsid w:val="00870473"/>
    <w:rsid w:val="00874BF4"/>
    <w:rsid w:val="0087716C"/>
    <w:rsid w:val="008853F0"/>
    <w:rsid w:val="00885A46"/>
    <w:rsid w:val="00890116"/>
    <w:rsid w:val="008921E7"/>
    <w:rsid w:val="008933EE"/>
    <w:rsid w:val="00893D73"/>
    <w:rsid w:val="00897281"/>
    <w:rsid w:val="008A0F62"/>
    <w:rsid w:val="008A6031"/>
    <w:rsid w:val="008B0A7F"/>
    <w:rsid w:val="008B21B5"/>
    <w:rsid w:val="008B33BE"/>
    <w:rsid w:val="008C231D"/>
    <w:rsid w:val="008C44E1"/>
    <w:rsid w:val="008C6545"/>
    <w:rsid w:val="008D2994"/>
    <w:rsid w:val="008D46E0"/>
    <w:rsid w:val="008D5DF9"/>
    <w:rsid w:val="008D67A1"/>
    <w:rsid w:val="008D6E5A"/>
    <w:rsid w:val="008E0DF9"/>
    <w:rsid w:val="008E289D"/>
    <w:rsid w:val="008E589D"/>
    <w:rsid w:val="008E59C6"/>
    <w:rsid w:val="008E78FF"/>
    <w:rsid w:val="008F3F2F"/>
    <w:rsid w:val="008F6961"/>
    <w:rsid w:val="008F7C56"/>
    <w:rsid w:val="0091123D"/>
    <w:rsid w:val="0091131A"/>
    <w:rsid w:val="00913AB4"/>
    <w:rsid w:val="0091466A"/>
    <w:rsid w:val="00914C5E"/>
    <w:rsid w:val="00917515"/>
    <w:rsid w:val="00923821"/>
    <w:rsid w:val="009310D7"/>
    <w:rsid w:val="009323BC"/>
    <w:rsid w:val="0093273B"/>
    <w:rsid w:val="0093692F"/>
    <w:rsid w:val="00937633"/>
    <w:rsid w:val="009429CE"/>
    <w:rsid w:val="00942C65"/>
    <w:rsid w:val="009439C8"/>
    <w:rsid w:val="00944671"/>
    <w:rsid w:val="00945227"/>
    <w:rsid w:val="00946019"/>
    <w:rsid w:val="009507AD"/>
    <w:rsid w:val="009532E7"/>
    <w:rsid w:val="00955692"/>
    <w:rsid w:val="00956EB4"/>
    <w:rsid w:val="00962F8C"/>
    <w:rsid w:val="00966DD0"/>
    <w:rsid w:val="009731C0"/>
    <w:rsid w:val="00974D56"/>
    <w:rsid w:val="00974E85"/>
    <w:rsid w:val="0097733D"/>
    <w:rsid w:val="009868D2"/>
    <w:rsid w:val="009869D4"/>
    <w:rsid w:val="00994F30"/>
    <w:rsid w:val="009950B1"/>
    <w:rsid w:val="00996125"/>
    <w:rsid w:val="0099790B"/>
    <w:rsid w:val="009A0421"/>
    <w:rsid w:val="009A1C50"/>
    <w:rsid w:val="009A3720"/>
    <w:rsid w:val="009A5FDB"/>
    <w:rsid w:val="009B01A8"/>
    <w:rsid w:val="009B4021"/>
    <w:rsid w:val="009B40C5"/>
    <w:rsid w:val="009B760B"/>
    <w:rsid w:val="009C0A9D"/>
    <w:rsid w:val="009C342F"/>
    <w:rsid w:val="009C3C22"/>
    <w:rsid w:val="009C7724"/>
    <w:rsid w:val="009D2A6D"/>
    <w:rsid w:val="009D5091"/>
    <w:rsid w:val="009D5C50"/>
    <w:rsid w:val="009E055D"/>
    <w:rsid w:val="009E3557"/>
    <w:rsid w:val="009E451C"/>
    <w:rsid w:val="009E6CDB"/>
    <w:rsid w:val="009E7BBE"/>
    <w:rsid w:val="009F4970"/>
    <w:rsid w:val="009F5465"/>
    <w:rsid w:val="00A01C08"/>
    <w:rsid w:val="00A10341"/>
    <w:rsid w:val="00A169EE"/>
    <w:rsid w:val="00A16E23"/>
    <w:rsid w:val="00A205B4"/>
    <w:rsid w:val="00A2137D"/>
    <w:rsid w:val="00A2153B"/>
    <w:rsid w:val="00A21D5A"/>
    <w:rsid w:val="00A230AD"/>
    <w:rsid w:val="00A23C63"/>
    <w:rsid w:val="00A2429F"/>
    <w:rsid w:val="00A26A48"/>
    <w:rsid w:val="00A328DF"/>
    <w:rsid w:val="00A3616C"/>
    <w:rsid w:val="00A36BAD"/>
    <w:rsid w:val="00A4026C"/>
    <w:rsid w:val="00A43779"/>
    <w:rsid w:val="00A46F10"/>
    <w:rsid w:val="00A504E5"/>
    <w:rsid w:val="00A50DB8"/>
    <w:rsid w:val="00A52674"/>
    <w:rsid w:val="00A548C5"/>
    <w:rsid w:val="00A549CB"/>
    <w:rsid w:val="00A55A06"/>
    <w:rsid w:val="00A5637A"/>
    <w:rsid w:val="00A63B6D"/>
    <w:rsid w:val="00A64C9D"/>
    <w:rsid w:val="00A65E88"/>
    <w:rsid w:val="00A662B1"/>
    <w:rsid w:val="00A66AEE"/>
    <w:rsid w:val="00A673D5"/>
    <w:rsid w:val="00A7056C"/>
    <w:rsid w:val="00A746DE"/>
    <w:rsid w:val="00A74D93"/>
    <w:rsid w:val="00A7700E"/>
    <w:rsid w:val="00A83B24"/>
    <w:rsid w:val="00A862B5"/>
    <w:rsid w:val="00A90182"/>
    <w:rsid w:val="00A912FE"/>
    <w:rsid w:val="00A920DB"/>
    <w:rsid w:val="00A959F5"/>
    <w:rsid w:val="00A95A04"/>
    <w:rsid w:val="00AA2188"/>
    <w:rsid w:val="00AA51AA"/>
    <w:rsid w:val="00AA51E3"/>
    <w:rsid w:val="00AA599F"/>
    <w:rsid w:val="00AA5F16"/>
    <w:rsid w:val="00AA72A0"/>
    <w:rsid w:val="00AB1033"/>
    <w:rsid w:val="00AB25C4"/>
    <w:rsid w:val="00AB2C33"/>
    <w:rsid w:val="00AB5A6B"/>
    <w:rsid w:val="00AB673C"/>
    <w:rsid w:val="00AB7162"/>
    <w:rsid w:val="00AC076B"/>
    <w:rsid w:val="00AC6C9C"/>
    <w:rsid w:val="00AC76C1"/>
    <w:rsid w:val="00AD0034"/>
    <w:rsid w:val="00AD0B0D"/>
    <w:rsid w:val="00AD12A2"/>
    <w:rsid w:val="00AD1977"/>
    <w:rsid w:val="00AD4503"/>
    <w:rsid w:val="00AD5195"/>
    <w:rsid w:val="00AD5915"/>
    <w:rsid w:val="00AD6113"/>
    <w:rsid w:val="00AD6163"/>
    <w:rsid w:val="00AD6C91"/>
    <w:rsid w:val="00AE1505"/>
    <w:rsid w:val="00AE1EE0"/>
    <w:rsid w:val="00AE532C"/>
    <w:rsid w:val="00AE5B61"/>
    <w:rsid w:val="00AF112E"/>
    <w:rsid w:val="00AF35BB"/>
    <w:rsid w:val="00AF5364"/>
    <w:rsid w:val="00B0023E"/>
    <w:rsid w:val="00B00B25"/>
    <w:rsid w:val="00B01534"/>
    <w:rsid w:val="00B03C19"/>
    <w:rsid w:val="00B03FD6"/>
    <w:rsid w:val="00B04239"/>
    <w:rsid w:val="00B045C0"/>
    <w:rsid w:val="00B05487"/>
    <w:rsid w:val="00B06274"/>
    <w:rsid w:val="00B1254F"/>
    <w:rsid w:val="00B12877"/>
    <w:rsid w:val="00B14874"/>
    <w:rsid w:val="00B165AE"/>
    <w:rsid w:val="00B21879"/>
    <w:rsid w:val="00B21EFD"/>
    <w:rsid w:val="00B24A63"/>
    <w:rsid w:val="00B24FB7"/>
    <w:rsid w:val="00B258FA"/>
    <w:rsid w:val="00B25FF8"/>
    <w:rsid w:val="00B35740"/>
    <w:rsid w:val="00B3583C"/>
    <w:rsid w:val="00B360C4"/>
    <w:rsid w:val="00B36408"/>
    <w:rsid w:val="00B51F0D"/>
    <w:rsid w:val="00B51F43"/>
    <w:rsid w:val="00B54063"/>
    <w:rsid w:val="00B540F1"/>
    <w:rsid w:val="00B55028"/>
    <w:rsid w:val="00B566B7"/>
    <w:rsid w:val="00B577AA"/>
    <w:rsid w:val="00B577F9"/>
    <w:rsid w:val="00B601A4"/>
    <w:rsid w:val="00B6028D"/>
    <w:rsid w:val="00B605C3"/>
    <w:rsid w:val="00B61B54"/>
    <w:rsid w:val="00B661C4"/>
    <w:rsid w:val="00B676B4"/>
    <w:rsid w:val="00B70256"/>
    <w:rsid w:val="00B73616"/>
    <w:rsid w:val="00B73BD2"/>
    <w:rsid w:val="00B74410"/>
    <w:rsid w:val="00B808B8"/>
    <w:rsid w:val="00B85F2E"/>
    <w:rsid w:val="00B869EF"/>
    <w:rsid w:val="00B871EE"/>
    <w:rsid w:val="00B90FB1"/>
    <w:rsid w:val="00B924AA"/>
    <w:rsid w:val="00B92CFC"/>
    <w:rsid w:val="00B93375"/>
    <w:rsid w:val="00B94CE0"/>
    <w:rsid w:val="00B95D62"/>
    <w:rsid w:val="00B978FC"/>
    <w:rsid w:val="00BA1502"/>
    <w:rsid w:val="00BA157A"/>
    <w:rsid w:val="00BA46A1"/>
    <w:rsid w:val="00BB0D46"/>
    <w:rsid w:val="00BB237C"/>
    <w:rsid w:val="00BB3E33"/>
    <w:rsid w:val="00BB5FDA"/>
    <w:rsid w:val="00BB60BB"/>
    <w:rsid w:val="00BB73A6"/>
    <w:rsid w:val="00BC00A1"/>
    <w:rsid w:val="00BC05DE"/>
    <w:rsid w:val="00BC0AB9"/>
    <w:rsid w:val="00BC42BA"/>
    <w:rsid w:val="00BC4596"/>
    <w:rsid w:val="00BC5D54"/>
    <w:rsid w:val="00BC74F4"/>
    <w:rsid w:val="00BC7C5F"/>
    <w:rsid w:val="00BD22CC"/>
    <w:rsid w:val="00BD2E63"/>
    <w:rsid w:val="00BD2F9B"/>
    <w:rsid w:val="00BD4A62"/>
    <w:rsid w:val="00BD60F9"/>
    <w:rsid w:val="00BE0001"/>
    <w:rsid w:val="00BE0654"/>
    <w:rsid w:val="00BE0B3E"/>
    <w:rsid w:val="00BE101A"/>
    <w:rsid w:val="00BE221A"/>
    <w:rsid w:val="00BE3EBA"/>
    <w:rsid w:val="00BE436F"/>
    <w:rsid w:val="00BE515D"/>
    <w:rsid w:val="00BE5162"/>
    <w:rsid w:val="00BF550D"/>
    <w:rsid w:val="00C022DE"/>
    <w:rsid w:val="00C03DA4"/>
    <w:rsid w:val="00C062F7"/>
    <w:rsid w:val="00C0650C"/>
    <w:rsid w:val="00C074CC"/>
    <w:rsid w:val="00C12FBF"/>
    <w:rsid w:val="00C132A6"/>
    <w:rsid w:val="00C13694"/>
    <w:rsid w:val="00C13CF9"/>
    <w:rsid w:val="00C2241F"/>
    <w:rsid w:val="00C2252A"/>
    <w:rsid w:val="00C2266A"/>
    <w:rsid w:val="00C23312"/>
    <w:rsid w:val="00C239D3"/>
    <w:rsid w:val="00C23AA1"/>
    <w:rsid w:val="00C24831"/>
    <w:rsid w:val="00C26846"/>
    <w:rsid w:val="00C26BC8"/>
    <w:rsid w:val="00C26FFF"/>
    <w:rsid w:val="00C309A3"/>
    <w:rsid w:val="00C3123C"/>
    <w:rsid w:val="00C315D9"/>
    <w:rsid w:val="00C378B9"/>
    <w:rsid w:val="00C37E0E"/>
    <w:rsid w:val="00C415DA"/>
    <w:rsid w:val="00C424F2"/>
    <w:rsid w:val="00C4301A"/>
    <w:rsid w:val="00C430D7"/>
    <w:rsid w:val="00C4395A"/>
    <w:rsid w:val="00C4604C"/>
    <w:rsid w:val="00C460A4"/>
    <w:rsid w:val="00C465DB"/>
    <w:rsid w:val="00C46CCF"/>
    <w:rsid w:val="00C529D6"/>
    <w:rsid w:val="00C52A92"/>
    <w:rsid w:val="00C56D50"/>
    <w:rsid w:val="00C57298"/>
    <w:rsid w:val="00C57334"/>
    <w:rsid w:val="00C60A93"/>
    <w:rsid w:val="00C622DD"/>
    <w:rsid w:val="00C62EE9"/>
    <w:rsid w:val="00C6301C"/>
    <w:rsid w:val="00C66327"/>
    <w:rsid w:val="00C6704C"/>
    <w:rsid w:val="00C67218"/>
    <w:rsid w:val="00C703F0"/>
    <w:rsid w:val="00C70401"/>
    <w:rsid w:val="00C72AB2"/>
    <w:rsid w:val="00C73740"/>
    <w:rsid w:val="00C73BDC"/>
    <w:rsid w:val="00C82D52"/>
    <w:rsid w:val="00C82ECE"/>
    <w:rsid w:val="00C836DE"/>
    <w:rsid w:val="00C85B2A"/>
    <w:rsid w:val="00C90FC5"/>
    <w:rsid w:val="00C9197C"/>
    <w:rsid w:val="00C9212A"/>
    <w:rsid w:val="00C92A4C"/>
    <w:rsid w:val="00C940FD"/>
    <w:rsid w:val="00C94630"/>
    <w:rsid w:val="00C97C85"/>
    <w:rsid w:val="00CA2EEC"/>
    <w:rsid w:val="00CA7F09"/>
    <w:rsid w:val="00CB1D31"/>
    <w:rsid w:val="00CB781A"/>
    <w:rsid w:val="00CC3A36"/>
    <w:rsid w:val="00CC6FE5"/>
    <w:rsid w:val="00CC7A04"/>
    <w:rsid w:val="00CD0392"/>
    <w:rsid w:val="00CD320B"/>
    <w:rsid w:val="00CD4A50"/>
    <w:rsid w:val="00CD6868"/>
    <w:rsid w:val="00CE0A62"/>
    <w:rsid w:val="00CE3772"/>
    <w:rsid w:val="00CE4837"/>
    <w:rsid w:val="00CE48FA"/>
    <w:rsid w:val="00CE4C03"/>
    <w:rsid w:val="00CF05EF"/>
    <w:rsid w:val="00CF09CE"/>
    <w:rsid w:val="00CF2E40"/>
    <w:rsid w:val="00CF6E37"/>
    <w:rsid w:val="00D006D7"/>
    <w:rsid w:val="00D025B7"/>
    <w:rsid w:val="00D04DFE"/>
    <w:rsid w:val="00D05866"/>
    <w:rsid w:val="00D10A32"/>
    <w:rsid w:val="00D12389"/>
    <w:rsid w:val="00D12F16"/>
    <w:rsid w:val="00D15DCA"/>
    <w:rsid w:val="00D2252E"/>
    <w:rsid w:val="00D2381A"/>
    <w:rsid w:val="00D260B2"/>
    <w:rsid w:val="00D3198B"/>
    <w:rsid w:val="00D31F57"/>
    <w:rsid w:val="00D32307"/>
    <w:rsid w:val="00D34910"/>
    <w:rsid w:val="00D36DB4"/>
    <w:rsid w:val="00D40054"/>
    <w:rsid w:val="00D400EB"/>
    <w:rsid w:val="00D4190D"/>
    <w:rsid w:val="00D41CD1"/>
    <w:rsid w:val="00D41E46"/>
    <w:rsid w:val="00D4424B"/>
    <w:rsid w:val="00D44252"/>
    <w:rsid w:val="00D4559E"/>
    <w:rsid w:val="00D512C0"/>
    <w:rsid w:val="00D52A7D"/>
    <w:rsid w:val="00D53A39"/>
    <w:rsid w:val="00D54E9F"/>
    <w:rsid w:val="00D55372"/>
    <w:rsid w:val="00D5684B"/>
    <w:rsid w:val="00D578C9"/>
    <w:rsid w:val="00D6009C"/>
    <w:rsid w:val="00D6194D"/>
    <w:rsid w:val="00D64FC5"/>
    <w:rsid w:val="00D66D2C"/>
    <w:rsid w:val="00D71072"/>
    <w:rsid w:val="00D71292"/>
    <w:rsid w:val="00D71C92"/>
    <w:rsid w:val="00D7212E"/>
    <w:rsid w:val="00D72524"/>
    <w:rsid w:val="00D73170"/>
    <w:rsid w:val="00D740EB"/>
    <w:rsid w:val="00D75D94"/>
    <w:rsid w:val="00D77BE2"/>
    <w:rsid w:val="00D80687"/>
    <w:rsid w:val="00D84A4C"/>
    <w:rsid w:val="00D85EB4"/>
    <w:rsid w:val="00D92A34"/>
    <w:rsid w:val="00D93379"/>
    <w:rsid w:val="00D941AB"/>
    <w:rsid w:val="00D979AC"/>
    <w:rsid w:val="00DA1E85"/>
    <w:rsid w:val="00DB11AC"/>
    <w:rsid w:val="00DB69E5"/>
    <w:rsid w:val="00DC1A2C"/>
    <w:rsid w:val="00DC1A2E"/>
    <w:rsid w:val="00DC219B"/>
    <w:rsid w:val="00DC39F5"/>
    <w:rsid w:val="00DC47EE"/>
    <w:rsid w:val="00DC54AA"/>
    <w:rsid w:val="00DC62FA"/>
    <w:rsid w:val="00DC6751"/>
    <w:rsid w:val="00DC7199"/>
    <w:rsid w:val="00DD0B54"/>
    <w:rsid w:val="00DD16D0"/>
    <w:rsid w:val="00DD1A0D"/>
    <w:rsid w:val="00DD5268"/>
    <w:rsid w:val="00DE071D"/>
    <w:rsid w:val="00DE624C"/>
    <w:rsid w:val="00DE7281"/>
    <w:rsid w:val="00DF01C9"/>
    <w:rsid w:val="00DF0FA3"/>
    <w:rsid w:val="00DF40C5"/>
    <w:rsid w:val="00DF4B3E"/>
    <w:rsid w:val="00DF55F6"/>
    <w:rsid w:val="00DF66DA"/>
    <w:rsid w:val="00E03737"/>
    <w:rsid w:val="00E057C4"/>
    <w:rsid w:val="00E06889"/>
    <w:rsid w:val="00E10179"/>
    <w:rsid w:val="00E126F0"/>
    <w:rsid w:val="00E13A43"/>
    <w:rsid w:val="00E14120"/>
    <w:rsid w:val="00E144C6"/>
    <w:rsid w:val="00E149ED"/>
    <w:rsid w:val="00E15DFB"/>
    <w:rsid w:val="00E16BC5"/>
    <w:rsid w:val="00E215FD"/>
    <w:rsid w:val="00E226BD"/>
    <w:rsid w:val="00E23BD0"/>
    <w:rsid w:val="00E32DC3"/>
    <w:rsid w:val="00E35DE0"/>
    <w:rsid w:val="00E42A85"/>
    <w:rsid w:val="00E467A9"/>
    <w:rsid w:val="00E47879"/>
    <w:rsid w:val="00E47EE5"/>
    <w:rsid w:val="00E522C7"/>
    <w:rsid w:val="00E524B4"/>
    <w:rsid w:val="00E526D3"/>
    <w:rsid w:val="00E52903"/>
    <w:rsid w:val="00E52D01"/>
    <w:rsid w:val="00E55808"/>
    <w:rsid w:val="00E571FF"/>
    <w:rsid w:val="00E61FC4"/>
    <w:rsid w:val="00E628BF"/>
    <w:rsid w:val="00E62ED4"/>
    <w:rsid w:val="00E670F5"/>
    <w:rsid w:val="00E67D7E"/>
    <w:rsid w:val="00E708CC"/>
    <w:rsid w:val="00E73C93"/>
    <w:rsid w:val="00E74B5E"/>
    <w:rsid w:val="00E75385"/>
    <w:rsid w:val="00E7664E"/>
    <w:rsid w:val="00E76B1E"/>
    <w:rsid w:val="00E80869"/>
    <w:rsid w:val="00E84B12"/>
    <w:rsid w:val="00E85C47"/>
    <w:rsid w:val="00E87343"/>
    <w:rsid w:val="00E92294"/>
    <w:rsid w:val="00E94184"/>
    <w:rsid w:val="00EA2ED6"/>
    <w:rsid w:val="00EA396D"/>
    <w:rsid w:val="00EA5FAC"/>
    <w:rsid w:val="00EA7BEE"/>
    <w:rsid w:val="00EB0E13"/>
    <w:rsid w:val="00EB1A0D"/>
    <w:rsid w:val="00EB4F06"/>
    <w:rsid w:val="00EB5DB6"/>
    <w:rsid w:val="00EC0503"/>
    <w:rsid w:val="00EC07EB"/>
    <w:rsid w:val="00EC1CCE"/>
    <w:rsid w:val="00EC4D6D"/>
    <w:rsid w:val="00EC5999"/>
    <w:rsid w:val="00EC5E8C"/>
    <w:rsid w:val="00EC6085"/>
    <w:rsid w:val="00EC71FA"/>
    <w:rsid w:val="00EC7500"/>
    <w:rsid w:val="00EC79F9"/>
    <w:rsid w:val="00ED03C0"/>
    <w:rsid w:val="00ED1669"/>
    <w:rsid w:val="00ED3FA1"/>
    <w:rsid w:val="00EE19EE"/>
    <w:rsid w:val="00EE203F"/>
    <w:rsid w:val="00EE3A06"/>
    <w:rsid w:val="00EE5DE6"/>
    <w:rsid w:val="00EE7C22"/>
    <w:rsid w:val="00EF3943"/>
    <w:rsid w:val="00EF6DD2"/>
    <w:rsid w:val="00EF7612"/>
    <w:rsid w:val="00F01D9B"/>
    <w:rsid w:val="00F0609B"/>
    <w:rsid w:val="00F067DF"/>
    <w:rsid w:val="00F0699B"/>
    <w:rsid w:val="00F0714E"/>
    <w:rsid w:val="00F1121C"/>
    <w:rsid w:val="00F11379"/>
    <w:rsid w:val="00F1194B"/>
    <w:rsid w:val="00F11A0B"/>
    <w:rsid w:val="00F13351"/>
    <w:rsid w:val="00F14426"/>
    <w:rsid w:val="00F15B4E"/>
    <w:rsid w:val="00F17692"/>
    <w:rsid w:val="00F17AB8"/>
    <w:rsid w:val="00F203E4"/>
    <w:rsid w:val="00F261E7"/>
    <w:rsid w:val="00F26BCF"/>
    <w:rsid w:val="00F27893"/>
    <w:rsid w:val="00F31E55"/>
    <w:rsid w:val="00F332E4"/>
    <w:rsid w:val="00F34605"/>
    <w:rsid w:val="00F35F3F"/>
    <w:rsid w:val="00F4644D"/>
    <w:rsid w:val="00F46CEE"/>
    <w:rsid w:val="00F527F8"/>
    <w:rsid w:val="00F52D0E"/>
    <w:rsid w:val="00F55B6E"/>
    <w:rsid w:val="00F62227"/>
    <w:rsid w:val="00F62D1A"/>
    <w:rsid w:val="00F7265A"/>
    <w:rsid w:val="00F727CE"/>
    <w:rsid w:val="00F73173"/>
    <w:rsid w:val="00F7371E"/>
    <w:rsid w:val="00F74E67"/>
    <w:rsid w:val="00F768A3"/>
    <w:rsid w:val="00F76CCD"/>
    <w:rsid w:val="00F77CD3"/>
    <w:rsid w:val="00F91E21"/>
    <w:rsid w:val="00F92208"/>
    <w:rsid w:val="00F92878"/>
    <w:rsid w:val="00F95FCC"/>
    <w:rsid w:val="00F96B96"/>
    <w:rsid w:val="00FA05A9"/>
    <w:rsid w:val="00FA256C"/>
    <w:rsid w:val="00FA4F73"/>
    <w:rsid w:val="00FA5D7D"/>
    <w:rsid w:val="00FB02D6"/>
    <w:rsid w:val="00FB061B"/>
    <w:rsid w:val="00FB0D0B"/>
    <w:rsid w:val="00FB3202"/>
    <w:rsid w:val="00FB44FB"/>
    <w:rsid w:val="00FB54DB"/>
    <w:rsid w:val="00FB648D"/>
    <w:rsid w:val="00FB6D22"/>
    <w:rsid w:val="00FC13BD"/>
    <w:rsid w:val="00FC1C51"/>
    <w:rsid w:val="00FC1F2E"/>
    <w:rsid w:val="00FC2267"/>
    <w:rsid w:val="00FC68FD"/>
    <w:rsid w:val="00FD2331"/>
    <w:rsid w:val="00FD2F52"/>
    <w:rsid w:val="00FD3740"/>
    <w:rsid w:val="00FD667A"/>
    <w:rsid w:val="00FD6CB6"/>
    <w:rsid w:val="00FD7271"/>
    <w:rsid w:val="00FE129A"/>
    <w:rsid w:val="00FE1AB5"/>
    <w:rsid w:val="00FE1CE9"/>
    <w:rsid w:val="00FE41AE"/>
    <w:rsid w:val="00FE59A3"/>
    <w:rsid w:val="00FF094F"/>
    <w:rsid w:val="00FF12FC"/>
    <w:rsid w:val="00FF5295"/>
    <w:rsid w:val="00FF70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1D383C"/>
  <w15:docId w15:val="{A7F2A35E-D535-4316-82B5-3F070146D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locked="1"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link w:val="Nadpis1Char"/>
    <w:qFormat/>
    <w:rsid w:val="00DF55F6"/>
    <w:pPr>
      <w:spacing w:before="100" w:beforeAutospacing="1" w:after="100" w:afterAutospacing="1"/>
      <w:outlineLvl w:val="0"/>
    </w:pPr>
    <w:rPr>
      <w:b/>
      <w:bCs/>
      <w:kern w:val="36"/>
      <w:sz w:val="48"/>
      <w:szCs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5A38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
    <w:name w:val="Char Char Char Char Char Char Char Char Char"/>
    <w:basedOn w:val="Normln"/>
    <w:rsid w:val="005A38E1"/>
    <w:pPr>
      <w:spacing w:after="160" w:line="240" w:lineRule="exact"/>
    </w:pPr>
    <w:rPr>
      <w:rFonts w:ascii="Tahoma" w:hAnsi="Tahoma"/>
      <w:sz w:val="20"/>
      <w:szCs w:val="20"/>
      <w:lang w:val="en-US" w:eastAsia="en-US"/>
    </w:rPr>
  </w:style>
  <w:style w:type="paragraph" w:styleId="Zpat">
    <w:name w:val="footer"/>
    <w:basedOn w:val="Normln"/>
    <w:rsid w:val="00B03C19"/>
    <w:pPr>
      <w:tabs>
        <w:tab w:val="center" w:pos="4536"/>
        <w:tab w:val="right" w:pos="9072"/>
      </w:tabs>
    </w:pPr>
  </w:style>
  <w:style w:type="character" w:styleId="slostrnky">
    <w:name w:val="page number"/>
    <w:rsid w:val="00B03C19"/>
    <w:rPr>
      <w:rFonts w:cs="Times New Roman"/>
    </w:rPr>
  </w:style>
  <w:style w:type="paragraph" w:customStyle="1" w:styleId="CharCharCharCharChar">
    <w:name w:val="Char Char Char Char Char"/>
    <w:basedOn w:val="Normln"/>
    <w:rsid w:val="004C0C72"/>
    <w:pPr>
      <w:spacing w:after="160" w:line="240" w:lineRule="exact"/>
    </w:pPr>
    <w:rPr>
      <w:rFonts w:ascii="Tahoma" w:hAnsi="Tahoma"/>
      <w:sz w:val="20"/>
      <w:szCs w:val="20"/>
      <w:lang w:val="en-US" w:eastAsia="en-US"/>
    </w:rPr>
  </w:style>
  <w:style w:type="paragraph" w:customStyle="1" w:styleId="CharCharChar1CharCharCharCharCharCharCharCharChar1CharCharCharCharCharCharCharCharCharCharCharCharChar">
    <w:name w:val="Char Char Char1 Char Char Char Char Char Char Char Char Char1 Char Char Char Char Char Char Char Char Char Char Char Char Char"/>
    <w:basedOn w:val="Normln"/>
    <w:rsid w:val="009869D4"/>
    <w:pPr>
      <w:spacing w:after="160" w:line="240" w:lineRule="exact"/>
    </w:pPr>
    <w:rPr>
      <w:rFonts w:ascii="Tahoma" w:hAnsi="Tahoma"/>
      <w:sz w:val="20"/>
      <w:szCs w:val="20"/>
      <w:lang w:val="en-US" w:eastAsia="en-US"/>
    </w:rPr>
  </w:style>
  <w:style w:type="paragraph" w:customStyle="1" w:styleId="CharChar2Char">
    <w:name w:val="Char Char2 Char"/>
    <w:basedOn w:val="Normln"/>
    <w:rsid w:val="00F0609B"/>
    <w:pPr>
      <w:spacing w:after="160" w:line="240" w:lineRule="exact"/>
    </w:pPr>
    <w:rPr>
      <w:rFonts w:ascii="Times New Roman Bold" w:hAnsi="Times New Roman Bold" w:cs="Times New Roman Bold"/>
      <w:sz w:val="22"/>
      <w:szCs w:val="22"/>
      <w:lang w:val="sk-SK" w:eastAsia="en-US"/>
    </w:rPr>
  </w:style>
  <w:style w:type="paragraph" w:styleId="Zhlav">
    <w:name w:val="header"/>
    <w:basedOn w:val="Normln"/>
    <w:rsid w:val="00A7700E"/>
    <w:pPr>
      <w:tabs>
        <w:tab w:val="center" w:pos="4536"/>
        <w:tab w:val="right" w:pos="9072"/>
      </w:tabs>
      <w:spacing w:after="120"/>
      <w:jc w:val="both"/>
    </w:pPr>
  </w:style>
  <w:style w:type="paragraph" w:styleId="Zkladntext">
    <w:name w:val="Body Text"/>
    <w:basedOn w:val="Normln"/>
    <w:rsid w:val="00A7700E"/>
    <w:pPr>
      <w:spacing w:before="60" w:after="120"/>
    </w:pPr>
    <w:rPr>
      <w:sz w:val="22"/>
      <w:szCs w:val="22"/>
    </w:rPr>
  </w:style>
  <w:style w:type="paragraph" w:styleId="Textbubliny">
    <w:name w:val="Balloon Text"/>
    <w:basedOn w:val="Normln"/>
    <w:semiHidden/>
    <w:rsid w:val="00CE48FA"/>
    <w:rPr>
      <w:rFonts w:ascii="Tahoma" w:hAnsi="Tahoma" w:cs="Tahoma"/>
      <w:sz w:val="16"/>
      <w:szCs w:val="16"/>
    </w:rPr>
  </w:style>
  <w:style w:type="character" w:styleId="Hypertextovodkaz">
    <w:name w:val="Hyperlink"/>
    <w:rsid w:val="00E62ED4"/>
    <w:rPr>
      <w:color w:val="0000FF"/>
      <w:u w:val="single"/>
    </w:rPr>
  </w:style>
  <w:style w:type="paragraph" w:customStyle="1" w:styleId="Zkladntext31">
    <w:name w:val="Základní text 31"/>
    <w:basedOn w:val="Normln"/>
    <w:rsid w:val="00E62ED4"/>
    <w:pPr>
      <w:spacing w:after="120"/>
      <w:jc w:val="both"/>
    </w:pPr>
    <w:rPr>
      <w:spacing w:val="-2"/>
      <w:szCs w:val="20"/>
    </w:rPr>
  </w:style>
  <w:style w:type="paragraph" w:customStyle="1" w:styleId="CharCharCharCharCharCharCharCharCharCharCharCharCharChar">
    <w:name w:val="Char Char Char Char Char Char Char Char Char Char Char Char Char Char"/>
    <w:basedOn w:val="Normln"/>
    <w:rsid w:val="001452B2"/>
    <w:pPr>
      <w:spacing w:after="160" w:line="240" w:lineRule="exact"/>
    </w:pPr>
    <w:rPr>
      <w:rFonts w:ascii="Tahoma" w:hAnsi="Tahoma"/>
      <w:sz w:val="20"/>
      <w:szCs w:val="20"/>
      <w:lang w:val="en-US" w:eastAsia="en-US"/>
    </w:rPr>
  </w:style>
  <w:style w:type="paragraph" w:customStyle="1" w:styleId="BnCharCharCharChar">
    <w:name w:val="Běžný Char Char Char Char"/>
    <w:basedOn w:val="Normln"/>
    <w:link w:val="BnCharCharCharCharChar"/>
    <w:rsid w:val="001452B2"/>
    <w:pPr>
      <w:spacing w:before="120" w:after="120"/>
      <w:ind w:firstLine="340"/>
      <w:jc w:val="both"/>
    </w:pPr>
    <w:rPr>
      <w:rFonts w:eastAsia="Batang"/>
    </w:rPr>
  </w:style>
  <w:style w:type="character" w:customStyle="1" w:styleId="BnCharCharCharCharChar">
    <w:name w:val="Běžný Char Char Char Char Char"/>
    <w:link w:val="BnCharCharCharChar"/>
    <w:locked/>
    <w:rsid w:val="001452B2"/>
    <w:rPr>
      <w:rFonts w:eastAsia="Batang"/>
      <w:sz w:val="24"/>
      <w:lang w:val="cs-CZ" w:eastAsia="cs-CZ"/>
    </w:rPr>
  </w:style>
  <w:style w:type="character" w:styleId="Siln">
    <w:name w:val="Strong"/>
    <w:qFormat/>
    <w:rsid w:val="001452B2"/>
    <w:rPr>
      <w:b/>
    </w:rPr>
  </w:style>
  <w:style w:type="paragraph" w:customStyle="1" w:styleId="Bn">
    <w:name w:val="Běžný"/>
    <w:basedOn w:val="Normln"/>
    <w:rsid w:val="001452B2"/>
    <w:pPr>
      <w:spacing w:before="120" w:after="120"/>
      <w:ind w:firstLine="340"/>
      <w:jc w:val="both"/>
    </w:pPr>
    <w:rPr>
      <w:rFonts w:eastAsia="Batang"/>
    </w:rPr>
  </w:style>
  <w:style w:type="paragraph" w:customStyle="1" w:styleId="Zprvapro">
    <w:name w:val="Zpráva pro"/>
    <w:basedOn w:val="Normln"/>
    <w:rsid w:val="00AF35BB"/>
    <w:rPr>
      <w:szCs w:val="20"/>
    </w:rPr>
  </w:style>
  <w:style w:type="paragraph" w:customStyle="1" w:styleId="CharCharCharCharCharCharCharChar">
    <w:name w:val="Char Char Char Char Char Char Char Char"/>
    <w:basedOn w:val="Normln"/>
    <w:rsid w:val="008E589D"/>
    <w:pPr>
      <w:spacing w:after="160" w:line="240" w:lineRule="exact"/>
    </w:pPr>
    <w:rPr>
      <w:rFonts w:ascii="Tahoma" w:hAnsi="Tahoma"/>
      <w:sz w:val="20"/>
      <w:szCs w:val="20"/>
      <w:lang w:val="en-US" w:eastAsia="en-US"/>
    </w:rPr>
  </w:style>
  <w:style w:type="paragraph" w:customStyle="1" w:styleId="CharCharCharCharCharCharCharChar1Char">
    <w:name w:val="Char Char Char Char Char Char Char Char1 Char"/>
    <w:basedOn w:val="Normln"/>
    <w:rsid w:val="00556E86"/>
    <w:pPr>
      <w:spacing w:after="160" w:line="240" w:lineRule="exact"/>
    </w:pPr>
    <w:rPr>
      <w:rFonts w:ascii="Tahoma" w:hAnsi="Tahoma"/>
      <w:sz w:val="20"/>
      <w:szCs w:val="20"/>
      <w:lang w:val="en-US" w:eastAsia="en-US"/>
    </w:rPr>
  </w:style>
  <w:style w:type="paragraph" w:customStyle="1" w:styleId="Default">
    <w:name w:val="Default"/>
    <w:rsid w:val="00607D50"/>
    <w:pPr>
      <w:autoSpaceDE w:val="0"/>
      <w:autoSpaceDN w:val="0"/>
      <w:adjustRightInd w:val="0"/>
    </w:pPr>
    <w:rPr>
      <w:rFonts w:ascii="Palatino Linotype" w:hAnsi="Palatino Linotype" w:cs="Palatino Linotype"/>
      <w:color w:val="000000"/>
      <w:sz w:val="24"/>
      <w:szCs w:val="24"/>
    </w:rPr>
  </w:style>
  <w:style w:type="paragraph" w:customStyle="1" w:styleId="Odstavecseseznamem1">
    <w:name w:val="Odstavec se seznamem1"/>
    <w:basedOn w:val="Normln"/>
    <w:rsid w:val="002B7E5D"/>
    <w:pPr>
      <w:ind w:left="720"/>
      <w:contextualSpacing/>
    </w:pPr>
  </w:style>
  <w:style w:type="paragraph" w:customStyle="1" w:styleId="CharCharCharCharCharCharCharCharCharCharCharChar">
    <w:name w:val="Char Char Char Char Char Char Char Char Char Char Char Char"/>
    <w:basedOn w:val="Normln"/>
    <w:rsid w:val="00DF55F6"/>
    <w:pPr>
      <w:spacing w:after="160" w:line="240" w:lineRule="exact"/>
    </w:pPr>
    <w:rPr>
      <w:rFonts w:ascii="Tahoma" w:hAnsi="Tahoma"/>
      <w:sz w:val="20"/>
      <w:szCs w:val="20"/>
      <w:lang w:val="en-US" w:eastAsia="en-US"/>
    </w:rPr>
  </w:style>
  <w:style w:type="character" w:customStyle="1" w:styleId="Nadpis1Char">
    <w:name w:val="Nadpis 1 Char"/>
    <w:link w:val="Nadpis1"/>
    <w:locked/>
    <w:rsid w:val="00DF55F6"/>
    <w:rPr>
      <w:b/>
      <w:kern w:val="36"/>
      <w:sz w:val="48"/>
    </w:rPr>
  </w:style>
  <w:style w:type="character" w:styleId="PromnnHTML">
    <w:name w:val="HTML Variable"/>
    <w:uiPriority w:val="99"/>
    <w:unhideWhenUsed/>
    <w:rsid w:val="008F3F2F"/>
    <w:rPr>
      <w:i/>
      <w:iCs/>
    </w:rPr>
  </w:style>
  <w:style w:type="character" w:styleId="Sledovanodkaz">
    <w:name w:val="FollowedHyperlink"/>
    <w:rsid w:val="00151048"/>
    <w:rPr>
      <w:color w:val="954F72"/>
      <w:u w:val="single"/>
    </w:rPr>
  </w:style>
  <w:style w:type="character" w:styleId="Odkaznakoment">
    <w:name w:val="annotation reference"/>
    <w:uiPriority w:val="99"/>
    <w:rsid w:val="00B360C4"/>
    <w:rPr>
      <w:sz w:val="16"/>
      <w:szCs w:val="16"/>
    </w:rPr>
  </w:style>
  <w:style w:type="paragraph" w:styleId="Textkomente">
    <w:name w:val="annotation text"/>
    <w:basedOn w:val="Normln"/>
    <w:link w:val="TextkomenteChar"/>
    <w:uiPriority w:val="99"/>
    <w:unhideWhenUsed/>
    <w:rsid w:val="00B360C4"/>
    <w:pPr>
      <w:spacing w:after="200"/>
    </w:pPr>
    <w:rPr>
      <w:rFonts w:ascii="Calibri" w:eastAsia="Calibri" w:hAnsi="Calibri"/>
      <w:sz w:val="20"/>
      <w:szCs w:val="20"/>
      <w:lang w:eastAsia="en-US"/>
    </w:rPr>
  </w:style>
  <w:style w:type="character" w:customStyle="1" w:styleId="TextkomenteChar">
    <w:name w:val="Text komentáře Char"/>
    <w:link w:val="Textkomente"/>
    <w:uiPriority w:val="99"/>
    <w:rsid w:val="00B360C4"/>
    <w:rPr>
      <w:rFonts w:ascii="Calibri" w:eastAsia="Calibri" w:hAnsi="Calibri"/>
      <w:lang w:eastAsia="en-US"/>
    </w:rPr>
  </w:style>
  <w:style w:type="paragraph" w:customStyle="1" w:styleId="CharCharCharCharCharCharCharCharCharCharCharChar0">
    <w:name w:val="Char Char Char Char Char Char Char Char Char Char Char Char"/>
    <w:basedOn w:val="Normln"/>
    <w:rsid w:val="0080208B"/>
    <w:pPr>
      <w:spacing w:after="160" w:line="240" w:lineRule="exact"/>
    </w:pPr>
    <w:rPr>
      <w:rFonts w:ascii="Tahoma" w:hAnsi="Tahoma"/>
      <w:sz w:val="20"/>
      <w:szCs w:val="20"/>
      <w:lang w:val="en-US" w:eastAsia="en-US"/>
    </w:rPr>
  </w:style>
  <w:style w:type="paragraph" w:customStyle="1" w:styleId="CharCharCharCharCharCharCharCharCharCharCharChar1">
    <w:name w:val="Char Char Char Char Char Char Char Char Char Char Char Char"/>
    <w:basedOn w:val="Normln"/>
    <w:rsid w:val="00EB4F06"/>
    <w:pPr>
      <w:spacing w:after="160" w:line="240" w:lineRule="exact"/>
    </w:pPr>
    <w:rPr>
      <w:rFonts w:ascii="Tahoma" w:hAnsi="Tahoma"/>
      <w:sz w:val="20"/>
      <w:szCs w:val="20"/>
      <w:lang w:val="en-US" w:eastAsia="en-US"/>
    </w:rPr>
  </w:style>
  <w:style w:type="paragraph" w:styleId="Odstavecseseznamem">
    <w:name w:val="List Paragraph"/>
    <w:aliases w:val="Nad,Odstavec_muj,Název grafu,nad 1,Conclusion de partie,_Odstavec se seznamem,List Paragraph (Czech Tourism)"/>
    <w:basedOn w:val="Normln"/>
    <w:link w:val="OdstavecseseznamemChar"/>
    <w:qFormat/>
    <w:rsid w:val="002E4135"/>
    <w:pPr>
      <w:ind w:left="720"/>
      <w:contextualSpacing/>
    </w:pPr>
  </w:style>
  <w:style w:type="character" w:customStyle="1" w:styleId="OdstavecseseznamemChar">
    <w:name w:val="Odstavec se seznamem Char"/>
    <w:aliases w:val="Nad Char,Odstavec_muj Char,Název grafu Char,nad 1 Char,Conclusion de partie Char,_Odstavec se seznamem Char,List Paragraph (Czech Tourism) Char"/>
    <w:link w:val="Odstavecseseznamem"/>
    <w:locked/>
    <w:rsid w:val="002E4135"/>
    <w:rPr>
      <w:sz w:val="24"/>
      <w:szCs w:val="24"/>
    </w:rPr>
  </w:style>
  <w:style w:type="paragraph" w:styleId="Pedmtkomente">
    <w:name w:val="annotation subject"/>
    <w:basedOn w:val="Textkomente"/>
    <w:next w:val="Textkomente"/>
    <w:link w:val="PedmtkomenteChar"/>
    <w:semiHidden/>
    <w:unhideWhenUsed/>
    <w:rsid w:val="00753165"/>
    <w:pPr>
      <w:spacing w:after="0"/>
    </w:pPr>
    <w:rPr>
      <w:rFonts w:ascii="Times New Roman" w:eastAsia="Times New Roman" w:hAnsi="Times New Roman"/>
      <w:b/>
      <w:bCs/>
      <w:lang w:eastAsia="cs-CZ"/>
    </w:rPr>
  </w:style>
  <w:style w:type="character" w:customStyle="1" w:styleId="PedmtkomenteChar">
    <w:name w:val="Předmět komentáře Char"/>
    <w:basedOn w:val="TextkomenteChar"/>
    <w:link w:val="Pedmtkomente"/>
    <w:semiHidden/>
    <w:rsid w:val="00753165"/>
    <w:rPr>
      <w:rFonts w:ascii="Calibri" w:eastAsia="Calibri" w:hAnsi="Calibri"/>
      <w:b/>
      <w:bCs/>
      <w:lang w:eastAsia="en-US"/>
    </w:rPr>
  </w:style>
  <w:style w:type="paragraph" w:styleId="Revize">
    <w:name w:val="Revision"/>
    <w:hidden/>
    <w:uiPriority w:val="99"/>
    <w:semiHidden/>
    <w:rsid w:val="00A205B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26831805">
      <w:bodyDiv w:val="1"/>
      <w:marLeft w:val="0"/>
      <w:marRight w:val="0"/>
      <w:marTop w:val="0"/>
      <w:marBottom w:val="0"/>
      <w:divBdr>
        <w:top w:val="none" w:sz="0" w:space="0" w:color="auto"/>
        <w:left w:val="none" w:sz="0" w:space="0" w:color="auto"/>
        <w:bottom w:val="none" w:sz="0" w:space="0" w:color="auto"/>
        <w:right w:val="none" w:sz="0" w:space="0" w:color="auto"/>
      </w:divBdr>
    </w:div>
    <w:div w:id="464588735">
      <w:bodyDiv w:val="1"/>
      <w:marLeft w:val="0"/>
      <w:marRight w:val="0"/>
      <w:marTop w:val="0"/>
      <w:marBottom w:val="0"/>
      <w:divBdr>
        <w:top w:val="none" w:sz="0" w:space="0" w:color="auto"/>
        <w:left w:val="none" w:sz="0" w:space="0" w:color="auto"/>
        <w:bottom w:val="none" w:sz="0" w:space="0" w:color="auto"/>
        <w:right w:val="none" w:sz="0" w:space="0" w:color="auto"/>
      </w:divBdr>
    </w:div>
    <w:div w:id="497890007">
      <w:bodyDiv w:val="1"/>
      <w:marLeft w:val="0"/>
      <w:marRight w:val="0"/>
      <w:marTop w:val="0"/>
      <w:marBottom w:val="0"/>
      <w:divBdr>
        <w:top w:val="none" w:sz="0" w:space="0" w:color="auto"/>
        <w:left w:val="none" w:sz="0" w:space="0" w:color="auto"/>
        <w:bottom w:val="none" w:sz="0" w:space="0" w:color="auto"/>
        <w:right w:val="none" w:sz="0" w:space="0" w:color="auto"/>
      </w:divBdr>
    </w:div>
    <w:div w:id="918056532">
      <w:bodyDiv w:val="1"/>
      <w:marLeft w:val="0"/>
      <w:marRight w:val="0"/>
      <w:marTop w:val="0"/>
      <w:marBottom w:val="0"/>
      <w:divBdr>
        <w:top w:val="none" w:sz="0" w:space="0" w:color="auto"/>
        <w:left w:val="none" w:sz="0" w:space="0" w:color="auto"/>
        <w:bottom w:val="none" w:sz="0" w:space="0" w:color="auto"/>
        <w:right w:val="none" w:sz="0" w:space="0" w:color="auto"/>
      </w:divBdr>
    </w:div>
    <w:div w:id="1003124114">
      <w:bodyDiv w:val="1"/>
      <w:marLeft w:val="0"/>
      <w:marRight w:val="0"/>
      <w:marTop w:val="0"/>
      <w:marBottom w:val="0"/>
      <w:divBdr>
        <w:top w:val="none" w:sz="0" w:space="0" w:color="auto"/>
        <w:left w:val="none" w:sz="0" w:space="0" w:color="auto"/>
        <w:bottom w:val="none" w:sz="0" w:space="0" w:color="auto"/>
        <w:right w:val="none" w:sz="0" w:space="0" w:color="auto"/>
      </w:divBdr>
    </w:div>
    <w:div w:id="1520004523">
      <w:bodyDiv w:val="1"/>
      <w:marLeft w:val="0"/>
      <w:marRight w:val="0"/>
      <w:marTop w:val="0"/>
      <w:marBottom w:val="0"/>
      <w:divBdr>
        <w:top w:val="none" w:sz="0" w:space="0" w:color="auto"/>
        <w:left w:val="none" w:sz="0" w:space="0" w:color="auto"/>
        <w:bottom w:val="none" w:sz="0" w:space="0" w:color="auto"/>
        <w:right w:val="none" w:sz="0" w:space="0" w:color="auto"/>
      </w:divBdr>
    </w:div>
    <w:div w:id="1685857444">
      <w:bodyDiv w:val="1"/>
      <w:marLeft w:val="0"/>
      <w:marRight w:val="0"/>
      <w:marTop w:val="0"/>
      <w:marBottom w:val="0"/>
      <w:divBdr>
        <w:top w:val="none" w:sz="0" w:space="0" w:color="auto"/>
        <w:left w:val="none" w:sz="0" w:space="0" w:color="auto"/>
        <w:bottom w:val="none" w:sz="0" w:space="0" w:color="auto"/>
        <w:right w:val="none" w:sz="0" w:space="0" w:color="auto"/>
      </w:divBdr>
    </w:div>
    <w:div w:id="1856267659">
      <w:bodyDiv w:val="1"/>
      <w:marLeft w:val="0"/>
      <w:marRight w:val="0"/>
      <w:marTop w:val="0"/>
      <w:marBottom w:val="0"/>
      <w:divBdr>
        <w:top w:val="none" w:sz="0" w:space="0" w:color="auto"/>
        <w:left w:val="none" w:sz="0" w:space="0" w:color="auto"/>
        <w:bottom w:val="none" w:sz="0" w:space="0" w:color="auto"/>
        <w:right w:val="none" w:sz="0" w:space="0" w:color="auto"/>
      </w:divBdr>
    </w:div>
    <w:div w:id="189557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2006</Words>
  <Characters>11841</Characters>
  <Application>Microsoft Office Word</Application>
  <DocSecurity>0</DocSecurity>
  <Lines>98</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Úřad vlády ČR</Company>
  <LinksUpToDate>false</LinksUpToDate>
  <CharactersWithSpaces>13820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Palucha Aleš</cp:lastModifiedBy>
  <cp:revision>3</cp:revision>
  <cp:lastPrinted>2008-11-07T09:42:00Z</cp:lastPrinted>
  <dcterms:created xsi:type="dcterms:W3CDTF">2025-03-06T06:52:00Z</dcterms:created>
  <dcterms:modified xsi:type="dcterms:W3CDTF">2025-03-06T07:35:00Z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52cf05b-6ebb-4ae5-9999-cf046f7e4cec_Enabled">
    <vt:lpwstr>true</vt:lpwstr>
  </property>
  <property fmtid="{D5CDD505-2E9C-101B-9397-08002B2CF9AE}" pid="3" name="MSIP_Label_652cf05b-6ebb-4ae5-9999-cf046f7e4cec_SetDate">
    <vt:lpwstr>2024-10-29T13:45:22Z</vt:lpwstr>
  </property>
  <property fmtid="{D5CDD505-2E9C-101B-9397-08002B2CF9AE}" pid="4" name="MSIP_Label_652cf05b-6ebb-4ae5-9999-cf046f7e4cec_Method">
    <vt:lpwstr>Standard</vt:lpwstr>
  </property>
  <property fmtid="{D5CDD505-2E9C-101B-9397-08002B2CF9AE}" pid="5" name="MSIP_Label_652cf05b-6ebb-4ae5-9999-cf046f7e4cec_Name">
    <vt:lpwstr>652cf05b-6ebb-4ae5-9999-cf046f7e4cec</vt:lpwstr>
  </property>
  <property fmtid="{D5CDD505-2E9C-101B-9397-08002B2CF9AE}" pid="6" name="MSIP_Label_652cf05b-6ebb-4ae5-9999-cf046f7e4cec_SiteId">
    <vt:lpwstr>b35d4d81-871d-4773-9823-6aae0c84c8f2</vt:lpwstr>
  </property>
  <property fmtid="{D5CDD505-2E9C-101B-9397-08002B2CF9AE}" pid="7" name="MSIP_Label_652cf05b-6ebb-4ae5-9999-cf046f7e4cec_ActionId">
    <vt:lpwstr>8ea20c8b-a944-4d4d-b572-604f65db3157</vt:lpwstr>
  </property>
  <property fmtid="{D5CDD505-2E9C-101B-9397-08002B2CF9AE}" pid="8" name="MSIP_Label_652cf05b-6ebb-4ae5-9999-cf046f7e4cec_ContentBits">
    <vt:lpwstr>0</vt:lpwstr>
  </property>
</Properties>
</file>